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rFonts w:ascii="Bakbak One" w:hAnsi="Bakbak One" w:eastAsia="Bakbak One"/>
          <w:b/>
          <w:color w:val="1E3D21"/>
          <w:sz w:val="38"/>
        </w:rPr>
        <w:t>The AI Risk Quick-Screen</w:t>
      </w:r>
    </w:p>
    <w:p>
      <w:pPr>
        <w:spacing w:line="324" w:lineRule="auto"/>
      </w:pPr>
      <w:r>
        <w:rPr>
          <w:rFonts w:ascii="Cairo" w:hAnsi="Cairo" w:eastAsia="Cairo"/>
          <w:b w:val="0"/>
          <w:sz w:val="22"/>
        </w:rPr>
        <w:t>A free triage tool from AI GOVERNANCE CHAIN™</w:t>
      </w:r>
    </w:p>
    <w:p>
      <w:pPr>
        <w:spacing w:line="324" w:lineRule="auto"/>
      </w:pPr>
      <w:r>
        <w:rPr>
          <w:rFonts w:ascii="Cairo" w:hAnsi="Cairo" w:eastAsia="Cairo"/>
          <w:b w:val="0"/>
          <w:sz w:val="22"/>
        </w:rPr>
        <w:t>Twelve questions. Five minutes. The result tells you which of the six AI risk categories expose you most, so you know where to start. Answer each Yes (1 point) or No (0). Score by category.</w:t>
      </w:r>
    </w:p>
    <w:p>
      <w:pPr>
        <w:spacing w:before="200" w:after="80"/>
      </w:pPr>
      <w:r>
        <w:rPr>
          <w:rFonts w:ascii="Bakbak One" w:hAnsi="Bakbak One" w:eastAsia="Bakbak One"/>
          <w:b/>
          <w:color w:val="2A5230"/>
          <w:sz w:val="27"/>
        </w:rPr>
        <w:t>Abbreviations and Acronyms</w:t>
      </w:r>
    </w:p>
    <w:p>
      <w:pPr>
        <w:spacing w:line="324" w:lineRule="auto"/>
      </w:pPr>
      <w:r>
        <w:rPr>
          <w:rFonts w:ascii="Cairo" w:hAnsi="Cairo" w:eastAsia="Cairo"/>
          <w:b w:val="0"/>
          <w:sz w:val="22"/>
        </w:rPr>
        <w:t>No prior knowledge is assumed. Every acronym used in this document is defined below.</w:t>
      </w:r>
    </w:p>
    <w:p>
      <w:pPr>
        <w:spacing w:line="324" w:lineRule="auto"/>
      </w:pPr>
      <w:r>
        <w:rPr>
          <w:rFonts w:ascii="Cairo" w:hAnsi="Cairo" w:eastAsia="Cairo"/>
          <w:b w:val="0"/>
          <w:sz w:val="22"/>
        </w:rPr>
        <w:t>AI : Artificial Intelligence</w:t>
      </w:r>
    </w:p>
    <w:p>
      <w:pPr>
        <w:spacing w:line="324" w:lineRule="auto"/>
      </w:pPr>
      <w:r>
        <w:rPr>
          <w:rFonts w:ascii="Cairo" w:hAnsi="Cairo" w:eastAsia="Cairo"/>
          <w:b w:val="0"/>
          <w:sz w:val="22"/>
        </w:rPr>
        <w:t>EU : European Union</w:t>
      </w:r>
    </w:p>
    <w:p>
      <w:pPr>
        <w:spacing w:line="324" w:lineRule="auto"/>
      </w:pPr>
      <w:r>
        <w:rPr>
          <w:rFonts w:ascii="Cairo" w:hAnsi="Cairo" w:eastAsia="Cairo"/>
          <w:b w:val="0"/>
          <w:sz w:val="22"/>
        </w:rPr>
        <w:t>EU AI Act : the European Union Artificial Intelligence Act (Regulation (EU) 2024/1689)</w:t>
      </w:r>
    </w:p>
    <w:p>
      <w:pPr>
        <w:spacing w:before="200" w:after="80"/>
      </w:pPr>
      <w:r>
        <w:rPr>
          <w:rFonts w:ascii="Bakbak One" w:hAnsi="Bakbak One" w:eastAsia="Bakbak One"/>
          <w:b/>
          <w:color w:val="2A5230"/>
          <w:sz w:val="27"/>
        </w:rPr>
        <w:t>Technical (Q1, Q2)</w:t>
      </w:r>
    </w:p>
    <w:p>
      <w:pPr>
        <w:pStyle w:val="ListBullet"/>
      </w:pPr>
      <w:r>
        <w:rPr>
          <w:rFonts w:ascii="Cairo" w:hAnsi="Cairo" w:eastAsia="Cairo"/>
          <w:b w:val="0"/>
          <w:sz w:val="22"/>
        </w:rPr>
        <w:t>1. Do you test your AI systems for accuracy and monitor for drift after deployment?</w:t>
      </w:r>
    </w:p>
    <w:p>
      <w:pPr>
        <w:pStyle w:val="ListBullet"/>
      </w:pPr>
      <w:r>
        <w:rPr>
          <w:rFonts w:ascii="Cairo" w:hAnsi="Cairo" w:eastAsia="Cairo"/>
          <w:b w:val="0"/>
          <w:sz w:val="22"/>
        </w:rPr>
        <w:t>2. Have you tested how your systems behave on unusual or adversarial inputs?</w:t>
      </w:r>
    </w:p>
    <w:p>
      <w:pPr>
        <w:spacing w:before="200" w:after="80"/>
      </w:pPr>
      <w:r>
        <w:rPr>
          <w:rFonts w:ascii="Bakbak One" w:hAnsi="Bakbak One" w:eastAsia="Bakbak One"/>
          <w:b/>
          <w:color w:val="2A5230"/>
          <w:sz w:val="27"/>
        </w:rPr>
        <w:t>Data (Q3, Q4)</w:t>
      </w:r>
    </w:p>
    <w:p>
      <w:pPr>
        <w:pStyle w:val="ListBullet"/>
      </w:pPr>
      <w:r>
        <w:rPr>
          <w:rFonts w:ascii="Cairo" w:hAnsi="Cairo" w:eastAsia="Cairo"/>
          <w:b w:val="0"/>
          <w:sz w:val="22"/>
        </w:rPr>
        <w:t>3. Can you trace where your training and input data came from, and confirm you have the right to use it?</w:t>
      </w:r>
    </w:p>
    <w:p>
      <w:pPr>
        <w:pStyle w:val="ListBullet"/>
      </w:pPr>
      <w:r>
        <w:rPr>
          <w:rFonts w:ascii="Cairo" w:hAnsi="Cairo" w:eastAsia="Cairo"/>
          <w:b w:val="0"/>
          <w:sz w:val="22"/>
        </w:rPr>
        <w:t>4. Do you have controls protecting personal data used by or exposed to your AI?</w:t>
      </w:r>
    </w:p>
    <w:p>
      <w:pPr>
        <w:spacing w:before="200" w:after="80"/>
      </w:pPr>
      <w:r>
        <w:rPr>
          <w:rFonts w:ascii="Bakbak One" w:hAnsi="Bakbak One" w:eastAsia="Bakbak One"/>
          <w:b/>
          <w:color w:val="2A5230"/>
          <w:sz w:val="27"/>
        </w:rPr>
        <w:t>Ethical and Societal (Q5, Q6)</w:t>
      </w:r>
    </w:p>
    <w:p>
      <w:pPr>
        <w:pStyle w:val="ListBullet"/>
      </w:pPr>
      <w:r>
        <w:rPr>
          <w:rFonts w:ascii="Cairo" w:hAnsi="Cairo" w:eastAsia="Cairo"/>
          <w:b w:val="0"/>
          <w:sz w:val="22"/>
        </w:rPr>
        <w:t>5. Have you tested your systems for biased or unfair outcomes across groups?</w:t>
      </w:r>
    </w:p>
    <w:p>
      <w:pPr>
        <w:pStyle w:val="ListBullet"/>
      </w:pPr>
      <w:r>
        <w:rPr>
          <w:rFonts w:ascii="Cairo" w:hAnsi="Cairo" w:eastAsia="Cairo"/>
          <w:b w:val="0"/>
          <w:sz w:val="22"/>
        </w:rPr>
        <w:t>6. Have you tested whether your systems flatter, agree, or fabricate rather than tell the truth?</w:t>
      </w:r>
    </w:p>
    <w:p>
      <w:pPr>
        <w:spacing w:before="200" w:after="80"/>
      </w:pPr>
      <w:r>
        <w:rPr>
          <w:rFonts w:ascii="Bakbak One" w:hAnsi="Bakbak One" w:eastAsia="Bakbak One"/>
          <w:b/>
          <w:color w:val="2A5230"/>
          <w:sz w:val="27"/>
        </w:rPr>
        <w:t>Legal and Regulatory (Q7, Q8)</w:t>
      </w:r>
    </w:p>
    <w:p>
      <w:pPr>
        <w:pStyle w:val="ListBullet"/>
      </w:pPr>
      <w:r>
        <w:rPr>
          <w:rFonts w:ascii="Cairo" w:hAnsi="Cairo" w:eastAsia="Cairo"/>
          <w:b w:val="0"/>
          <w:sz w:val="22"/>
        </w:rPr>
        <w:t>7. Do you know which regulations (EU AI Act, sector rules) apply to each AI system you run?</w:t>
      </w:r>
    </w:p>
    <w:p>
      <w:pPr>
        <w:pStyle w:val="ListBullet"/>
      </w:pPr>
      <w:r>
        <w:rPr>
          <w:rFonts w:ascii="Cairo" w:hAnsi="Cairo" w:eastAsia="Cairo"/>
          <w:b w:val="0"/>
          <w:sz w:val="22"/>
        </w:rPr>
        <w:t>8. Do your user disclosures accurately describe what your AI does and decides?</w:t>
      </w:r>
    </w:p>
    <w:p>
      <w:pPr>
        <w:spacing w:before="200" w:after="80"/>
      </w:pPr>
      <w:r>
        <w:rPr>
          <w:rFonts w:ascii="Bakbak One" w:hAnsi="Bakbak One" w:eastAsia="Bakbak One"/>
          <w:b/>
          <w:color w:val="2A5230"/>
          <w:sz w:val="27"/>
        </w:rPr>
        <w:t>Operational (Q9, Q10)</w:t>
      </w:r>
    </w:p>
    <w:p>
      <w:pPr>
        <w:pStyle w:val="ListBullet"/>
      </w:pPr>
      <w:r>
        <w:rPr>
          <w:rFonts w:ascii="Cairo" w:hAnsi="Cairo" w:eastAsia="Cairo"/>
          <w:b w:val="0"/>
          <w:sz w:val="22"/>
        </w:rPr>
        <w:t>9. Can a human meaningfully oversee and, if needed, stop each AI system quickly?</w:t>
      </w:r>
    </w:p>
    <w:p>
      <w:pPr>
        <w:pStyle w:val="ListBullet"/>
      </w:pPr>
      <w:r>
        <w:rPr>
          <w:rFonts w:ascii="Cairo" w:hAnsi="Cairo" w:eastAsia="Cairo"/>
          <w:b w:val="0"/>
          <w:sz w:val="22"/>
        </w:rPr>
        <w:t>10. Would you detect an AI failure through monitoring rather than through a complaint?</w:t>
      </w:r>
    </w:p>
    <w:p>
      <w:pPr>
        <w:spacing w:before="200" w:after="80"/>
      </w:pPr>
      <w:r>
        <w:rPr>
          <w:rFonts w:ascii="Bakbak One" w:hAnsi="Bakbak One" w:eastAsia="Bakbak One"/>
          <w:b/>
          <w:color w:val="2A5230"/>
          <w:sz w:val="27"/>
        </w:rPr>
        <w:t>Strategic (Q11, Q12)</w:t>
      </w:r>
    </w:p>
    <w:p>
      <w:pPr>
        <w:pStyle w:val="ListBullet"/>
      </w:pPr>
      <w:r>
        <w:rPr>
          <w:rFonts w:ascii="Cairo" w:hAnsi="Cairo" w:eastAsia="Cairo"/>
          <w:b w:val="0"/>
          <w:sz w:val="22"/>
        </w:rPr>
        <w:t>11. Have you assessed the reputational and mission impact of a public AI failure?</w:t>
      </w:r>
    </w:p>
    <w:p>
      <w:pPr>
        <w:pStyle w:val="ListBullet"/>
      </w:pPr>
      <w:r>
        <w:rPr>
          <w:rFonts w:ascii="Cairo" w:hAnsi="Cairo" w:eastAsia="Cairo"/>
          <w:b w:val="0"/>
          <w:sz w:val="22"/>
        </w:rPr>
        <w:t>12. For any autonomous or agentic system, have you bounded what it is allowed to do without approval?</w:t>
      </w:r>
    </w:p>
    <w:p>
      <w:pPr>
        <w:spacing w:before="200" w:after="80"/>
      </w:pPr>
      <w:r>
        <w:rPr>
          <w:rFonts w:ascii="Bakbak One" w:hAnsi="Bakbak One" w:eastAsia="Bakbak One"/>
          <w:b/>
          <w:color w:val="2A5230"/>
          <w:sz w:val="27"/>
        </w:rPr>
        <w:t>Reading your result</w:t>
      </w:r>
    </w:p>
    <w:p>
      <w:pPr>
        <w:spacing w:line="324" w:lineRule="auto"/>
      </w:pPr>
      <w:r>
        <w:rPr>
          <w:rFonts w:ascii="Cairo" w:hAnsi="Cairo" w:eastAsia="Cairo"/>
          <w:b w:val="0"/>
          <w:sz w:val="22"/>
        </w:rPr>
        <w:t>Score each category out of 2. Any category scoring 0 is a red zone, address it first. A category at 1 is a watch zone. A category at 2 is, for now, covered. Most organizations discover two or three red zones they had never named. That is the point: this screen converts a vague unease into a ranked, actionable list.</w:t>
      </w:r>
    </w:p>
    <w:p>
      <w:pPr>
        <w:spacing w:before="200" w:after="80"/>
      </w:pPr>
      <w:r>
        <w:rPr>
          <w:rFonts w:ascii="Bakbak One" w:hAnsi="Bakbak One" w:eastAsia="Bakbak One"/>
          <w:b/>
          <w:color w:val="2A5230"/>
          <w:sz w:val="27"/>
        </w:rPr>
        <w:t>Where the free version stops</w:t>
      </w:r>
    </w:p>
    <w:p>
      <w:pPr>
        <w:spacing w:line="324" w:lineRule="auto"/>
      </w:pPr>
      <w:r>
        <w:rPr>
          <w:rFonts w:ascii="Cairo" w:hAnsi="Cairo" w:eastAsia="Cairo"/>
          <w:b w:val="0"/>
          <w:sz w:val="22"/>
        </w:rPr>
        <w:t>This screen ranks your categories. It does not score the thirty individual risks, build your register, plan treatment, or set the monitoring that keeps the picture current. That is the AI Risk Management Kit.</w:t>
      </w:r>
    </w:p>
    <w:p>
      <w:pPr>
        <w:pBdr>
          <w:top w:val="single" w:sz="8" w:color="BDE051"/>
        </w:pBdr>
      </w:pPr>
    </w:p>
    <w:p>
      <w:r>
        <w:rPr>
          <w:rFonts w:ascii="Cairo" w:hAnsi="Cairo" w:eastAsia="Cairo"/>
          <w:b/>
          <w:color w:val="2A5230"/>
          <w:sz w:val="21"/>
        </w:rPr>
        <w:t xml:space="preserve">Your next step: </w:t>
      </w:r>
      <w:r>
        <w:rPr>
          <w:rFonts w:ascii="Cairo" w:hAnsi="Cairo" w:eastAsia="Cairo"/>
          <w:b w:val="0"/>
          <w:sz w:val="21"/>
        </w:rPr>
        <w:t>Get the AI Risk Management Kit, Full Edition in the Execution Library (www.aigovernancechain.com/storefront.html, section: The Core Governance Kits). Every instrument in the Execution Library is also included in the Governance Vault , the all-access annual licence.</w:t>
      </w:r>
    </w:p>
    <w:p>
      <w:pPr>
        <w:pBdr>
          <w:top w:val="single" w:sz="8" w:color="BDE051"/>
        </w:pBdr>
      </w:pPr>
    </w:p>
    <w:p>
      <w:pPr>
        <w:pBdr>
          <w:top w:val="single" w:sz="8" w:color="BDE051"/>
        </w:pBdr>
      </w:pPr>
    </w:p>
    <w:p>
      <w:pPr>
        <w:spacing w:line="324" w:lineRule="auto"/>
      </w:pPr>
      <w:r>
        <w:rPr>
          <w:rFonts w:ascii="Cairo" w:hAnsi="Cairo" w:eastAsia="Cairo"/>
          <w:b w:val="0"/>
          <w:sz w:val="22"/>
        </w:rPr>
        <w:t>AI GOVERNANCE CHAIN™</w:t>
      </w:r>
    </w:p>
    <w:p>
      <w:pPr>
        <w:spacing w:line="324" w:lineRule="auto"/>
      </w:pPr>
      <w:r>
        <w:rPr>
          <w:rFonts w:ascii="Cairo" w:hAnsi="Cairo" w:eastAsia="Cairo"/>
          <w:b w:val="0"/>
          <w:sz w:val="22"/>
        </w:rPr>
        <w:t>(c) 2026 Mathieu K. Gouanou. All rights reserved.</w:t>
      </w:r>
    </w:p>
    <w:p>
      <w:pPr>
        <w:spacing w:line="324" w:lineRule="auto"/>
      </w:pPr>
      <w:r>
        <w:rPr>
          <w:rFonts w:ascii="Cairo" w:hAnsi="Cairo" w:eastAsia="Cairo"/>
          <w:b w:val="0"/>
          <w:sz w:val="22"/>
        </w:rPr>
        <w:t>Member, Harvard Business Review Advisory Council.</w:t>
      </w:r>
    </w:p>
    <w:p>
      <w:pPr>
        <w:spacing w:line="324" w:lineRule="auto"/>
      </w:pPr>
      <w:r>
        <w:rPr>
          <w:rFonts w:ascii="Cairo" w:hAnsi="Cairo" w:eastAsia="Cairo"/>
          <w:b w:val="0"/>
          <w:sz w:val="22"/>
        </w:rPr>
        <w:t>Document standard: human-first AI governance.</w:t>
      </w:r>
    </w:p>
    <w:sectPr w:rsidR="00FC693F" w:rsidRPr="0006063C" w:rsidSect="00034616">
      <w:footerReference w:type="default" r:id="rId9"/>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sz w:val="18"/>
        <w:color w:val="2a5230"/>
      </w:rPr>
      <w:fldChar w:fldCharType="begin"/>
    </w:r>
    <w:r>
      <w:rPr>
        <w:rFonts w:ascii="Cairo"/>
        <w:sz w:val="18"/>
        <w:color w:val="2a5230"/>
      </w:rPr>
      <w:instrText xml:space="preserve"> PAGE </w:instrText>
    </w:r>
    <w:r>
      <w:rPr>
        <w:rFonts w:ascii="Cairo"/>
        <w:sz w:val="18"/>
        <w:color w:val="2a5230"/>
      </w:rPr>
      <w:fldChar w:fldCharType="end"/>
    </w:r>
    <w:r>
      <w:rPr>
        <w:rFonts w:ascii="Cairo"/>
        <w:sz w:val="18"/>
        <w:color w:val="2a5230"/>
      </w:rPr>
      <w:t xml:space="preserve">/</w:t>
    </w:r>
    <w:r>
      <w:rPr>
        <w:rFonts w:ascii="Cairo"/>
        <w:sz w:val="18"/>
        <w:color w:val="2a5230"/>
      </w:rPr>
      <w:fldChar w:fldCharType="begin"/>
    </w:r>
    <w:r>
      <w:rPr>
        <w:rFonts w:ascii="Cairo"/>
        <w:sz w:val="18"/>
        <w:color w:val="2a5230"/>
      </w:rPr>
      <w:instrText xml:space="preserve"> NUMPAGES </w:instrText>
    </w:r>
    <w:r>
      <w:rPr>
        <w:rFonts w:ascii="Cairo"/>
        <w:sz w:val="18"/>
        <w:color w:val="2a5230"/>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