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Frontier AI Risk Quick-Check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Most AI governance assumes a bounded, predictable system. Frontier and highly autonomous systems break that assumption. This quick-check tells you whether your system has crossed into frontier territory, where ordinary governance is not enough.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AGI : Artificial General Intelligence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Why this matters (the WHY)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most advanced systems, large frontier models and agentic systems that plan and act, carry risks that conventional controls were never designed for: emergent capability, autonomous action, and failure at a speed and scale a human cannot intercept. Governing them like ordinary software is the gap that worries regulators most.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Quick-Check (the WHAT)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Answer yes or no. Any yes means frontier-grade governance is warranted.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1. Does the system act autonomously (plan, decide, or execute) without a human approving each step?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2. Can it use tools, call other systems, or trigger real-world actions?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3. Are its capabilities broad or general rather than narrow and fixed?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4. Could its behavior change or emerge in ways the builders did not explicitly design?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5. Could a failure propagate faster than a human could intervene?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6. Could it affect critical infrastructure, safety, or large populations?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7. Is it among the most capable models or agents available?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Reading your result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Zero yes: Conventional. Standard governance applies.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One to three yes: Elevated. Frontier-grade controls needed in those areas.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Four or more yes: Frontier. Full frontier governance is required before scaling.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this stops (the boundary)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check flags frontier status. The paid Frontier and AGI Governance Kit provides the capability thresholds, the evaluation protocol, and the containment and stop architecture that govern such systems.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Frontier and AGI Governance Kit, Full Edition in the Execution Library (www.aigovernancechain.com/storefront.html, section: The Core Governance Kits).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 | 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