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Human-in-the-Loop Decision Guide</w:t>
      </w:r>
    </w:p>
    <w:tbl>
      <w:tblPr>
        <w:tblStyle w:val="TableGrid"/>
        <w:tblW w:type="auto" w:w="0"/>
        <w:tblLook w:firstColumn="1" w:firstRow="1" w:lastColumn="0" w:lastRow="0" w:noHBand="0" w:noVBand="1" w:val="04A0"/>
      </w:tblPr>
      <w:tblGrid>
        <w:gridCol w:w="3362"/>
        <w:gridCol w:w="3362"/>
        <w:gridCol w:w="3362"/>
      </w:tblGrid>
      <w:tr>
        <w:tc>
          <w:tcPr>
            <w:tcW w:type="dxa" w:w="3362"/>
            <w:shd w:val="clear" w:fill="2a5230"/>
          </w:tcPr>
          <w:p>
            <w:r>
              <w:rPr>
                <w:rFonts w:ascii="Cairo" w:hAnsi="Cairo" w:eastAsia="Cairo"/>
                <w:b/>
                <w:color w:val="FFFFFF"/>
                <w:sz w:val="19"/>
              </w:rPr>
              <w:t>FREE asset</w:t>
            </w:r>
          </w:p>
        </w:tc>
        <w:tc>
          <w:tcPr>
            <w:tcW w:type="dxa" w:w="3362"/>
            <w:shd w:val="clear" w:fill="2a5230"/>
          </w:tcPr>
          <w:p>
            <w:r>
              <w:rPr>
                <w:rFonts w:ascii="Cairo" w:hAnsi="Cairo" w:eastAsia="Cairo"/>
                <w:b/>
                <w:color w:val="FFFFFF"/>
                <w:sz w:val="19"/>
              </w:rPr>
              <w:t>Tier 0</w:t>
            </w:r>
          </w:p>
        </w:tc>
        <w:tc>
          <w:tcPr>
            <w:tcW w:type="dxa" w:w="3362"/>
            <w:shd w:val="clear" w:fill="2a5230"/>
          </w:tcPr>
          <w:p>
            <w:r>
              <w:rPr>
                <w:rFonts w:ascii="Cairo" w:hAnsi="Cairo" w:eastAsia="Cairo"/>
                <w:b/>
                <w:color w:val="FFFFFF"/>
                <w:sz w:val="19"/>
              </w:rPr>
              <w:t>AI GOVERNANCE CHAIN™</w:t>
            </w:r>
          </w:p>
        </w:tc>
      </w:tr>
    </w:tbl>
    <w:p>
      <w:pPr>
        <w:spacing w:line="324" w:lineRule="auto"/>
      </w:pPr>
      <w:r>
        <w:rPr>
          <w:rFonts w:ascii="Cairo" w:hAnsi="Cairo" w:eastAsia="Cairo"/>
          <w:b w:val="0"/>
          <w:sz w:val="22"/>
        </w:rPr>
        <w:t>When a human must stay in control of an AI decision, and how to design that control so it is real, not a rubber stamp.</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EU : European Union</w:t>
      </w:r>
    </w:p>
    <w:p>
      <w:pPr>
        <w:spacing w:line="324" w:lineRule="auto"/>
      </w:pPr>
      <w:r>
        <w:rPr>
          <w:rFonts w:ascii="Cairo" w:hAnsi="Cairo" w:eastAsia="Cairo"/>
          <w:b w:val="0"/>
          <w:sz w:val="22"/>
        </w:rPr>
        <w:t>EU AI Act : the European Union Artificial Intelligence Act (Regulation (EU) 2024/1689)</w:t>
      </w:r>
    </w:p>
    <w:p>
      <w:pPr>
        <w:spacing w:before="200" w:after="80"/>
      </w:pPr>
      <w:r>
        <w:rPr>
          <w:rFonts w:ascii="Bakbak One" w:hAnsi="Bakbak One" w:eastAsia="Bakbak One"/>
          <w:b/>
          <w:color w:val="2A5230"/>
          <w:sz w:val="27"/>
        </w:rPr>
        <w:t>The WHY</w:t>
      </w:r>
    </w:p>
    <w:p>
      <w:pPr>
        <w:spacing w:line="324" w:lineRule="auto"/>
      </w:pPr>
      <w:r>
        <w:rPr>
          <w:rFonts w:ascii="Cairo" w:hAnsi="Cairo" w:eastAsia="Cairo"/>
          <w:b w:val="0"/>
          <w:sz w:val="22"/>
        </w:rPr>
        <w:t>The EU AI Act requires effective human oversight for high-risk AI systems. But "a human is involved" is not the same as "a human is in control." This guide helps you tell the difference and design oversight that actually works.</w:t>
      </w:r>
    </w:p>
    <w:p>
      <w:pPr>
        <w:spacing w:before="200" w:after="80"/>
      </w:pPr>
      <w:r>
        <w:rPr>
          <w:rFonts w:ascii="Bakbak One" w:hAnsi="Bakbak One" w:eastAsia="Bakbak One"/>
          <w:b/>
          <w:color w:val="2A5230"/>
          <w:sz w:val="27"/>
        </w:rPr>
        <w:t>Three models of human control</w:t>
      </w:r>
    </w:p>
    <w:tbl>
      <w:tblPr>
        <w:tblStyle w:val="TableGrid"/>
        <w:tblW w:type="auto" w:w="0"/>
        <w:tblLook w:firstColumn="1" w:firstRow="1" w:lastColumn="0" w:lastRow="0" w:noHBand="0" w:noVBand="1" w:val="04A0"/>
      </w:tblPr>
      <w:tblGrid>
        <w:gridCol w:w="3362"/>
        <w:gridCol w:w="3362"/>
        <w:gridCol w:w="3362"/>
      </w:tblGrid>
      <w:tr>
        <w:tc>
          <w:tcPr>
            <w:tcW w:type="dxa" w:w="3362"/>
            <w:shd w:val="clear" w:fill="2a5230"/>
          </w:tcPr>
          <w:p>
            <w:r>
              <w:rPr>
                <w:rFonts w:ascii="Cairo" w:hAnsi="Cairo" w:eastAsia="Cairo"/>
                <w:b/>
                <w:color w:val="FFFFFF"/>
                <w:sz w:val="19"/>
              </w:rPr>
              <w:t>Model</w:t>
            </w:r>
          </w:p>
        </w:tc>
        <w:tc>
          <w:tcPr>
            <w:tcW w:type="dxa" w:w="3362"/>
            <w:shd w:val="clear" w:fill="2a5230"/>
          </w:tcPr>
          <w:p>
            <w:r>
              <w:rPr>
                <w:rFonts w:ascii="Cairo" w:hAnsi="Cairo" w:eastAsia="Cairo"/>
                <w:b/>
                <w:color w:val="FFFFFF"/>
                <w:sz w:val="19"/>
              </w:rPr>
              <w:t>What it means</w:t>
            </w:r>
          </w:p>
        </w:tc>
        <w:tc>
          <w:tcPr>
            <w:tcW w:type="dxa" w:w="3362"/>
            <w:shd w:val="clear" w:fill="2a5230"/>
          </w:tcPr>
          <w:p>
            <w:r>
              <w:rPr>
                <w:rFonts w:ascii="Cairo" w:hAnsi="Cairo" w:eastAsia="Cairo"/>
                <w:b/>
                <w:color w:val="FFFFFF"/>
                <w:sz w:val="19"/>
              </w:rPr>
              <w:t>Use when</w:t>
            </w:r>
          </w:p>
        </w:tc>
      </w:tr>
      <w:tr>
        <w:tc>
          <w:tcPr>
            <w:tcW w:type="dxa" w:w="3362"/>
          </w:tcPr>
          <w:p>
            <w:r>
              <w:rPr>
                <w:rFonts w:ascii="Cairo" w:hAnsi="Cairo" w:eastAsia="Cairo"/>
                <w:b w:val="0"/>
                <w:sz w:val="19"/>
              </w:rPr>
              <w:t>Human in the loop</w:t>
            </w:r>
          </w:p>
        </w:tc>
        <w:tc>
          <w:tcPr>
            <w:tcW w:type="dxa" w:w="3362"/>
          </w:tcPr>
          <w:p>
            <w:r>
              <w:rPr>
                <w:rFonts w:ascii="Cairo" w:hAnsi="Cairo" w:eastAsia="Cairo"/>
                <w:b w:val="0"/>
                <w:sz w:val="19"/>
              </w:rPr>
              <w:t>A person approves each action before it happens.</w:t>
            </w:r>
          </w:p>
        </w:tc>
        <w:tc>
          <w:tcPr>
            <w:tcW w:type="dxa" w:w="3362"/>
          </w:tcPr>
          <w:p>
            <w:r>
              <w:rPr>
                <w:rFonts w:ascii="Cairo" w:hAnsi="Cairo" w:eastAsia="Cairo"/>
                <w:b w:val="0"/>
                <w:sz w:val="19"/>
              </w:rPr>
              <w:t>Stakes are high, volume is low.</w:t>
            </w:r>
          </w:p>
        </w:tc>
      </w:tr>
      <w:tr>
        <w:tc>
          <w:tcPr>
            <w:tcW w:type="dxa" w:w="3362"/>
            <w:shd w:val="clear" w:fill="F2F7E6"/>
          </w:tcPr>
          <w:p>
            <w:r>
              <w:rPr>
                <w:rFonts w:ascii="Cairo" w:hAnsi="Cairo" w:eastAsia="Cairo"/>
                <w:b w:val="0"/>
                <w:sz w:val="19"/>
              </w:rPr>
              <w:t>Human on the loop</w:t>
            </w:r>
          </w:p>
        </w:tc>
        <w:tc>
          <w:tcPr>
            <w:tcW w:type="dxa" w:w="3362"/>
            <w:shd w:val="clear" w:fill="F2F7E6"/>
          </w:tcPr>
          <w:p>
            <w:r>
              <w:rPr>
                <w:rFonts w:ascii="Cairo" w:hAnsi="Cairo" w:eastAsia="Cairo"/>
                <w:b w:val="0"/>
                <w:sz w:val="19"/>
              </w:rPr>
              <w:t>The system acts, a person monitors and can intervene.</w:t>
            </w:r>
          </w:p>
        </w:tc>
        <w:tc>
          <w:tcPr>
            <w:tcW w:type="dxa" w:w="3362"/>
            <w:shd w:val="clear" w:fill="F2F7E6"/>
          </w:tcPr>
          <w:p>
            <w:r>
              <w:rPr>
                <w:rFonts w:ascii="Cairo" w:hAnsi="Cairo" w:eastAsia="Cairo"/>
                <w:b w:val="0"/>
                <w:sz w:val="19"/>
              </w:rPr>
              <w:t>Stakes are moderate, volume is high.</w:t>
            </w:r>
          </w:p>
        </w:tc>
      </w:tr>
      <w:tr>
        <w:tc>
          <w:tcPr>
            <w:tcW w:type="dxa" w:w="3362"/>
          </w:tcPr>
          <w:p>
            <w:r>
              <w:rPr>
                <w:rFonts w:ascii="Cairo" w:hAnsi="Cairo" w:eastAsia="Cairo"/>
                <w:b w:val="0"/>
                <w:sz w:val="19"/>
              </w:rPr>
              <w:t>Human in command</w:t>
            </w:r>
          </w:p>
        </w:tc>
        <w:tc>
          <w:tcPr>
            <w:tcW w:type="dxa" w:w="3362"/>
          </w:tcPr>
          <w:p>
            <w:r>
              <w:rPr>
                <w:rFonts w:ascii="Cairo" w:hAnsi="Cairo" w:eastAsia="Cairo"/>
                <w:b w:val="0"/>
                <w:sz w:val="19"/>
              </w:rPr>
              <w:t>A person sets the rules and can shut the system down at any time.</w:t>
            </w:r>
          </w:p>
        </w:tc>
        <w:tc>
          <w:tcPr>
            <w:tcW w:type="dxa" w:w="3362"/>
          </w:tcPr>
          <w:p>
            <w:r>
              <w:rPr>
                <w:rFonts w:ascii="Cairo" w:hAnsi="Cairo" w:eastAsia="Cairo"/>
                <w:b w:val="0"/>
                <w:sz w:val="19"/>
              </w:rPr>
              <w:t>Always, as the backstop.</w:t>
            </w:r>
          </w:p>
        </w:tc>
      </w:tr>
    </w:tbl>
    <w:p>
      <w:pPr>
        <w:spacing w:before="200" w:after="80"/>
      </w:pPr>
      <w:r>
        <w:rPr>
          <w:rFonts w:ascii="Bakbak One" w:hAnsi="Bakbak One" w:eastAsia="Bakbak One"/>
          <w:b/>
          <w:color w:val="2A5230"/>
          <w:sz w:val="27"/>
        </w:rPr>
        <w:t>The five tests of real oversight</w:t>
      </w:r>
    </w:p>
    <w:p>
      <w:pPr>
        <w:pStyle w:val="ListBullet"/>
      </w:pPr>
      <w:r>
        <w:rPr>
          <w:rFonts w:ascii="Cairo" w:hAnsi="Cairo" w:eastAsia="Cairo"/>
          <w:b w:val="0"/>
          <w:sz w:val="22"/>
        </w:rPr>
        <w:t>1. The reviewer has the authority to override or stop the system.</w:t>
      </w:r>
    </w:p>
    <w:p>
      <w:pPr>
        <w:pStyle w:val="ListBullet"/>
      </w:pPr>
      <w:r>
        <w:rPr>
          <w:rFonts w:ascii="Cairo" w:hAnsi="Cairo" w:eastAsia="Cairo"/>
          <w:b w:val="0"/>
          <w:sz w:val="22"/>
        </w:rPr>
        <w:t>2. The reviewer has the information needed to judge the output.</w:t>
      </w:r>
    </w:p>
    <w:p>
      <w:pPr>
        <w:pStyle w:val="ListBullet"/>
      </w:pPr>
      <w:r>
        <w:rPr>
          <w:rFonts w:ascii="Cairo" w:hAnsi="Cairo" w:eastAsia="Cairo"/>
          <w:b w:val="0"/>
          <w:sz w:val="22"/>
        </w:rPr>
        <w:t>3. The reviewer has the time to review (not pressured to approve in seconds).</w:t>
      </w:r>
    </w:p>
    <w:p>
      <w:pPr>
        <w:pStyle w:val="ListBullet"/>
      </w:pPr>
      <w:r>
        <w:rPr>
          <w:rFonts w:ascii="Cairo" w:hAnsi="Cairo" w:eastAsia="Cairo"/>
          <w:b w:val="0"/>
          <w:sz w:val="22"/>
        </w:rPr>
        <w:t>4. The reviewer is competent in the domain.</w:t>
      </w:r>
    </w:p>
    <w:p>
      <w:pPr>
        <w:pStyle w:val="ListBullet"/>
      </w:pPr>
      <w:r>
        <w:rPr>
          <w:rFonts w:ascii="Cairo" w:hAnsi="Cairo" w:eastAsia="Cairo"/>
          <w:b w:val="0"/>
          <w:sz w:val="22"/>
        </w:rPr>
        <w:t>5. The reviewer is not penalized for overriding the system.</w:t>
      </w:r>
    </w:p>
    <w:p>
      <w:pPr>
        <w:spacing w:line="324" w:lineRule="auto"/>
      </w:pPr>
      <w:r>
        <w:rPr>
          <w:rFonts w:ascii="Cairo" w:hAnsi="Cairo" w:eastAsia="Cairo"/>
          <w:b w:val="0"/>
          <w:sz w:val="22"/>
        </w:rPr>
        <w:t>If any test fails, the oversight is cosmetic, not effective.</w:t>
      </w:r>
    </w:p>
    <w:p>
      <w:pPr>
        <w:spacing w:before="200" w:after="80"/>
      </w:pPr>
      <w:r>
        <w:rPr>
          <w:rFonts w:ascii="Bakbak One" w:hAnsi="Bakbak One" w:eastAsia="Bakbak One"/>
          <w:b/>
          <w:color w:val="2A5230"/>
          <w:sz w:val="27"/>
        </w:rPr>
        <w:t>Where free ends and paid begins</w:t>
      </w:r>
    </w:p>
    <w:p>
      <w:pPr>
        <w:pStyle w:val="ListBullet"/>
      </w:pPr>
      <w:r>
        <w:rPr>
          <w:rFonts w:ascii="Cairo" w:hAnsi="Cairo" w:eastAsia="Cairo"/>
          <w:b w:val="0"/>
          <w:sz w:val="22"/>
        </w:rPr>
        <w:t>- FREE (what and why): the three models and the five tests.</w:t>
      </w:r>
    </w:p>
    <w:p>
      <w:pPr>
        <w:pStyle w:val="ListBullet"/>
      </w:pPr>
      <w:r>
        <w:rPr>
          <w:rFonts w:ascii="Cairo" w:hAnsi="Cairo" w:eastAsia="Cairo"/>
          <w:b w:val="0"/>
          <w:sz w:val="22"/>
        </w:rPr>
        <w:t>- PAID (how): oversight design patterns embedded in the architecture in the AI Architecture Governance Blueprint (Tier C).</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EU AI Act Compliance Pack, Full Edition in the Execution Library (www.aigovernancechain.com/storefront.html, section: The Flagship Packs).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