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pPr>
      <w:r>
        <w:rPr>
          <w:rFonts w:ascii="Bakbak One" w:hAnsi="Bakbak One" w:eastAsia="Bakbak One"/>
          <w:b/>
          <w:color w:val="1E3D21"/>
          <w:sz w:val="38"/>
        </w:rPr>
        <w:t>The Q2 - 2026 State of AI Governance</w:t>
      </w:r>
    </w:p>
    <w:p>
      <w:pPr>
        <w:spacing w:line="324" w:lineRule="auto"/>
      </w:pPr>
      <w:r>
        <w:rPr>
          <w:rFonts w:ascii="Cairo" w:hAnsi="Cairo" w:eastAsia="Cairo"/>
          <w:b w:val="0"/>
          <w:sz w:val="22"/>
        </w:rPr>
        <w:t>An AI GOVERNANCE CHAIN™ Quarterly Report</w:t>
      </w:r>
    </w:p>
    <w:p>
      <w:pPr>
        <w:spacing w:line="324" w:lineRule="auto"/>
      </w:pPr>
      <w:r>
        <w:rPr>
          <w:rFonts w:ascii="Cairo" w:hAnsi="Cairo" w:eastAsia="Cairo"/>
          <w:b w:val="0"/>
          <w:sz w:val="22"/>
        </w:rPr>
        <w:t>No prior knowledge is assumed. Every acronym used in this document is defined below.</w:t>
      </w:r>
    </w:p>
    <w:p>
      <w:pPr>
        <w:spacing w:line="324" w:lineRule="auto"/>
      </w:pPr>
      <w:r>
        <w:rPr>
          <w:rFonts w:ascii="Cairo" w:hAnsi="Cairo" w:eastAsia="Cairo"/>
          <w:b w:val="0"/>
          <w:sz w:val="22"/>
        </w:rPr>
        <w:t>AI : Artificial Intelligence</w:t>
      </w:r>
    </w:p>
    <w:p>
      <w:pPr>
        <w:spacing w:line="324" w:lineRule="auto"/>
      </w:pPr>
      <w:r>
        <w:rPr>
          <w:rFonts w:ascii="Cairo" w:hAnsi="Cairo" w:eastAsia="Cairo"/>
          <w:b w:val="0"/>
          <w:sz w:val="22"/>
        </w:rPr>
        <w:t>GDPR : General Data Protection Regulation (European Union)</w:t>
      </w:r>
    </w:p>
    <w:p>
      <w:pPr>
        <w:spacing w:line="324" w:lineRule="auto"/>
      </w:pPr>
      <w:r>
        <w:rPr>
          <w:rFonts w:ascii="Cairo" w:hAnsi="Cairo" w:eastAsia="Cairo"/>
          <w:b w:val="0"/>
          <w:sz w:val="22"/>
        </w:rPr>
        <w:t>ISO/IEC 42001 : the international standard for Artificial Intelligence Management Systems, published in December 2023 by the International Organization for Standardization (ISO) and the International Electrotechnical Commission (IEC)</w:t>
      </w:r>
    </w:p>
    <w:p>
      <w:pPr>
        <w:spacing w:line="324" w:lineRule="auto"/>
      </w:pPr>
      <w:r>
        <w:rPr>
          <w:rFonts w:ascii="Cairo" w:hAnsi="Cairo" w:eastAsia="Cairo"/>
          <w:b w:val="0"/>
          <w:sz w:val="22"/>
        </w:rPr>
        <w:t>By Mathieu K. Gouanou. Strategist, AI Architect, and AI Governance specialist with decades of professional experience. Member, Harvard Business Review Advisory Council.</w:t>
      </w:r>
    </w:p>
    <w:p>
      <w:pPr>
        <w:spacing w:line="324" w:lineRule="auto"/>
      </w:pPr>
      <w:r>
        <w:rPr>
          <w:rFonts w:ascii="Cairo" w:hAnsi="Cairo" w:eastAsia="Cairo"/>
          <w:b w:val="0"/>
          <w:sz w:val="22"/>
        </w:rPr>
        <w:t>Inaugural edition. A note on style: this report uses no em-dashes.</w:t>
      </w:r>
    </w:p>
    <w:p>
      <w:pPr>
        <w:spacing w:line="324" w:lineRule="auto"/>
      </w:pPr>
      <w:r>
        <w:rPr>
          <w:rFonts w:ascii="Cairo" w:hAnsi="Cairo" w:eastAsia="Cairo"/>
          <w:b w:val="0"/>
          <w:sz w:val="22"/>
        </w:rPr>
        <w:t>Every technology cycle produces a moment when the conversation shifts from whether to how. Electricity had it. The internet had it. Cloud computing had it. In 2026, artificial intelligence is having it now.</w:t>
      </w:r>
    </w:p>
    <w:p>
      <w:pPr>
        <w:spacing w:line="324" w:lineRule="auto"/>
      </w:pPr>
      <w:r>
        <w:rPr>
          <w:rFonts w:ascii="Cairo" w:hAnsi="Cairo" w:eastAsia="Cairo"/>
          <w:b w:val="0"/>
          <w:sz w:val="22"/>
        </w:rPr>
        <w:t>For the better part of a decade, the discourse around AI governance was aspirational. Organizations published principles. Consultancies published frameworks. Regulators published intentions. The work was important, and it was also, in a quiet way, safe, because principles cost nothing to declare and frameworks cost nothing to admire. What they had in common was that almost none of them had been tested against the friction of a real deployment, a real budget, and a real board asking a real question: are we exposed, and can you prove we are not.</w:t>
      </w:r>
    </w:p>
    <w:p>
      <w:pPr>
        <w:spacing w:line="324" w:lineRule="auto"/>
      </w:pPr>
      <w:r>
        <w:rPr>
          <w:rFonts w:ascii="Cairo" w:hAnsi="Cairo" w:eastAsia="Cairo"/>
          <w:b w:val="0"/>
          <w:sz w:val="22"/>
        </w:rPr>
        <w:t>That question is now being asked in earnest, and most organizations cannot answer it. This is the central finding of this report. The governance gap is no longer a knowledge gap. The knowledge exists. It is an execution gap, and execution gaps are not closed by another set of principles. They are closed by operating systems, by right-sized instruments, and by the discipline to run them on a cadence.</w:t>
      </w:r>
    </w:p>
    <w:p>
      <w:pPr>
        <w:spacing w:line="324" w:lineRule="auto"/>
      </w:pPr>
      <w:r>
        <w:rPr>
          <w:rFonts w:ascii="Cairo" w:hAnsi="Cairo" w:eastAsia="Cairo"/>
          <w:b w:val="0"/>
          <w:sz w:val="22"/>
        </w:rPr>
        <w:t>I have spent three decades watching organizations of every size translate ambition into operating reality, and the pattern is always the same. The winners are not those with the best ideas. They are those who industrialize the unglamorous middle, the part between the strategy deck and the audited result. This report is about that middle.</w:t>
      </w:r>
    </w:p>
    <w:p>
      <w:pPr>
        <w:spacing w:line="324" w:lineRule="auto"/>
      </w:pPr>
      <w:r>
        <w:rPr>
          <w:rFonts w:ascii="Cairo" w:hAnsi="Cairo" w:eastAsia="Cairo"/>
          <w:b w:val="0"/>
          <w:sz w:val="22"/>
        </w:rPr>
        <w:t>Five forces define the state of AI governance as we enter 2026.</w:t>
      </w:r>
    </w:p>
    <w:p>
      <w:pPr>
        <w:spacing w:line="324" w:lineRule="auto"/>
      </w:pPr>
      <w:r>
        <w:rPr>
          <w:rFonts w:ascii="Cairo" w:hAnsi="Cairo" w:eastAsia="Cairo"/>
          <w:b w:val="0"/>
          <w:sz w:val="22"/>
        </w:rPr>
        <w:t>First, regulation has become the forcing function. The European Union AI Act has done for AI what the General Data Protection Regulation did for privacy. It has set a de facto global standard that organizations far outside Europe now adopt by default, because serving the European market, or partnering with anyone who does, requires it. The risk-tiered structure of the Act has quietly become the world's common language for AI risk.</w:t>
      </w:r>
    </w:p>
    <w:p>
      <w:pPr>
        <w:spacing w:line="324" w:lineRule="auto"/>
      </w:pPr>
      <w:r>
        <w:rPr>
          <w:rFonts w:ascii="Cairo" w:hAnsi="Cairo" w:eastAsia="Cairo"/>
          <w:b w:val="0"/>
          <w:sz w:val="22"/>
        </w:rPr>
        <w:t>Second, standards have arrived to operationalize the regulation. ISO/IEC 42001, the first management-system standard for artificial intelligence, gives organizations a certifiable structure. This matters more than it appears. A principle invites debate. A certifiable standard invites procurement, audit, and a documented paper trail. The market has shifted from arguing about ethics to assembling evidence.</w:t>
      </w:r>
    </w:p>
    <w:p>
      <w:pPr>
        <w:spacing w:line="324" w:lineRule="auto"/>
      </w:pPr>
      <w:r>
        <w:rPr>
          <w:rFonts w:ascii="Cairo" w:hAnsi="Cairo" w:eastAsia="Cairo"/>
          <w:b w:val="0"/>
          <w:sz w:val="22"/>
        </w:rPr>
        <w:t>Third, the frontier of risk has moved faster than the frontier of governance. Autonomous and multi-agent systems now act, not merely advise, and the governance literature for agentic AI remains thin. This is the most dangerous gap in the field, because exposure is compounding while the instruments to manage it are still being written.</w:t>
      </w:r>
    </w:p>
    <w:p>
      <w:pPr>
        <w:spacing w:line="324" w:lineRule="auto"/>
      </w:pPr>
      <w:r>
        <w:rPr>
          <w:rFonts w:ascii="Cairo" w:hAnsi="Cairo" w:eastAsia="Cairo"/>
          <w:b w:val="0"/>
          <w:sz w:val="22"/>
        </w:rPr>
        <w:t>Fourth, a specific and underexamined failure mode has emerged as a board-level concern: AI sycophancy. Models that agree, flatter, and tell users what they want to hear, rather than what is true, are not a curiosity. They are a governance risk that corrupts decisions precisely when those decisions matter most. Almost no governance framework names it. None, to my knowledge, instruments it. This report treats it as a first-class risk.</w:t>
      </w:r>
    </w:p>
    <w:p>
      <w:pPr>
        <w:spacing w:line="324" w:lineRule="auto"/>
      </w:pPr>
      <w:r>
        <w:rPr>
          <w:rFonts w:ascii="Cairo" w:hAnsi="Cairo" w:eastAsia="Cairo"/>
          <w:b w:val="0"/>
          <w:sz w:val="22"/>
        </w:rPr>
        <w:t>Fifth, and most consequential, the gap has changed character. It is no longer that organizations do not know what good governance looks like. It is that they cannot execute it at their size, in their sector, on their timeline. The differentiator in 2026 is not awareness. It is operational capacity.</w:t>
      </w:r>
    </w:p>
    <w:p>
      <w:pPr>
        <w:spacing w:line="324" w:lineRule="auto"/>
      </w:pPr>
      <w:r>
        <w:rPr>
          <w:rFonts w:ascii="Cairo" w:hAnsi="Cairo" w:eastAsia="Cairo"/>
          <w:b w:val="0"/>
          <w:sz w:val="22"/>
        </w:rPr>
        <w:t>The organizations that will lead are those that stop treating governance as a document and start treating it as a system that runs.</w:t>
      </w:r>
    </w:p>
    <w:p>
      <w:pPr>
        <w:spacing w:line="324" w:lineRule="auto"/>
      </w:pPr>
      <w:r>
        <w:rPr>
          <w:rFonts w:ascii="Cairo" w:hAnsi="Cairo" w:eastAsia="Cairo"/>
          <w:b w:val="0"/>
          <w:sz w:val="22"/>
        </w:rPr>
        <w:t>When historians of technology look back at this period, they will note that AI governance became mandatory before it became mature. That sequence matters. It means a great many organizations are now legally obligated to do something they do not yet know how to do.</w:t>
      </w:r>
    </w:p>
    <w:p>
      <w:pPr>
        <w:spacing w:line="324" w:lineRule="auto"/>
      </w:pPr>
      <w:r>
        <w:rPr>
          <w:rFonts w:ascii="Cairo" w:hAnsi="Cairo" w:eastAsia="Cairo"/>
          <w:b w:val="0"/>
          <w:sz w:val="22"/>
        </w:rPr>
        <w:t>The European Union AI Act is the anchor. Its genius, and the reason it has propagated globally, is that it did not attempt to regulate the technology. It regulated the risk. By sorting AI applications into tiers, from prohibited uses through high-risk systems down to minimal-risk tools, it gave the world a structure that scales across contexts. A hospital, a bank, and a municipal benefits office can all locate themselves in the same taxonomy. That portability is why the Act now functions as a global reference even where it has no jurisdiction.</w:t>
      </w:r>
    </w:p>
    <w:p>
      <w:pPr>
        <w:spacing w:line="324" w:lineRule="auto"/>
      </w:pPr>
      <w:r>
        <w:rPr>
          <w:rFonts w:ascii="Cairo" w:hAnsi="Cairo" w:eastAsia="Cairo"/>
          <w:b w:val="0"/>
          <w:sz w:val="22"/>
        </w:rPr>
        <w:t>The pattern is familiar to anyone who lived through the privacy decade. The General Data Protection Regulation was a European law that became a planetary operating assumption, because the cost of maintaining two postures, one compliant and one not, exceeded the cost of simply complying everywhere. AI is following the same arc, and it is following it faster, because the boards that learned the GDPR lesson are not inclined to relearn it.</w:t>
      </w:r>
    </w:p>
    <w:p>
      <w:pPr>
        <w:spacing w:line="324" w:lineRule="auto"/>
      </w:pPr>
      <w:r>
        <w:rPr>
          <w:rFonts w:ascii="Cairo" w:hAnsi="Cairo" w:eastAsia="Cairo"/>
          <w:b w:val="0"/>
          <w:sz w:val="22"/>
        </w:rPr>
        <w:t>For Latin American and Brazilian markets in particular, this creates a distinctive dynamic. Much of the governance demand is arriving through the public sector and through export-facing enterprises, both of which are bound by European expectations through trade and partnership. The governance conversation in these markets is therefore not abstract. It is procurement. This is one reason a governance practice that speaks the buyer's language, literally and structurally, holds a durable advantage.</w:t>
      </w:r>
    </w:p>
    <w:p>
      <w:pPr>
        <w:spacing w:line="324" w:lineRule="auto"/>
      </w:pPr>
      <w:r>
        <w:rPr>
          <w:rFonts w:ascii="Cairo" w:hAnsi="Cairo" w:eastAsia="Cairo"/>
          <w:b w:val="0"/>
          <w:sz w:val="22"/>
        </w:rPr>
        <w:t>The strategic implication is straightforward. Regulation has converted governance from a virtue into a requirement, and requirements generate budgets. The question for every organization is no longer whether to invest, but how to invest in a way that produces defensible evidence rather than expensive theater.</w:t>
      </w:r>
    </w:p>
    <w:p>
      <w:pPr>
        <w:spacing w:line="324" w:lineRule="auto"/>
      </w:pPr>
      <w:r>
        <w:rPr>
          <w:rFonts w:ascii="Cairo" w:hAnsi="Cairo" w:eastAsia="Cairo"/>
          <w:b w:val="0"/>
          <w:sz w:val="22"/>
        </w:rPr>
        <w:t>Regulation tells you that you must. Standards tell you how to prove that you did. The arrival of ISO/IEC 42001 as the first artificial intelligence management system standard is, in my assessment, the most underappreciated development in the field.</w:t>
      </w:r>
    </w:p>
    <w:p>
      <w:pPr>
        <w:spacing w:line="324" w:lineRule="auto"/>
      </w:pPr>
      <w:r>
        <w:rPr>
          <w:rFonts w:ascii="Cairo" w:hAnsi="Cairo" w:eastAsia="Cairo"/>
          <w:b w:val="0"/>
          <w:sz w:val="22"/>
        </w:rPr>
        <w:t>Here is why. A framework is a way of thinking. A standard is a way of being audited. When an organization adopts a framework, it gains clarity. When it pursues a standard, it gains a certificate, a surveillance schedule, and an external party whose job is to find the gaps. The second is harder, and it is harder in exactly the way that creates commercial value, because a certificate is transferable trust. A buyer, a regulator, and a board all read it the same way.</w:t>
      </w:r>
    </w:p>
    <w:p>
      <w:pPr>
        <w:spacing w:line="324" w:lineRule="auto"/>
      </w:pPr>
      <w:r>
        <w:rPr>
          <w:rFonts w:ascii="Cairo" w:hAnsi="Cairo" w:eastAsia="Cairo"/>
          <w:b w:val="0"/>
          <w:sz w:val="22"/>
        </w:rPr>
        <w:t>This shift, from frameworks that are admired to standards that are evidenced, is reshaping the entire demand curve. Organizations no longer want to be told what good looks like. They want the templates, the policies, the control libraries, and the audit instruments that let them assemble the proof. The market has moved from inspiration to instrumentation.</w:t>
      </w:r>
    </w:p>
    <w:p>
      <w:pPr>
        <w:spacing w:line="324" w:lineRule="auto"/>
      </w:pPr>
      <w:r>
        <w:rPr>
          <w:rFonts w:ascii="Cairo" w:hAnsi="Cairo" w:eastAsia="Cairo"/>
          <w:b w:val="0"/>
          <w:sz w:val="22"/>
        </w:rPr>
        <w:t>There is a deeper point here for anyone building a governance practice. The most valuable assets in this new environment are not the think pieces. They are the operational artifacts: the policy a compliance officer can adapt before lunch, the classification sheet that resolves an argument in a meeting, the readiness checklist that converts anxiety into a task list. These are the instruments of evidence, and evidence is what the standards economy rewards.</w:t>
      </w:r>
    </w:p>
    <w:p>
      <w:pPr>
        <w:spacing w:line="324" w:lineRule="auto"/>
      </w:pPr>
      <w:r>
        <w:rPr>
          <w:rFonts w:ascii="Cairo" w:hAnsi="Cairo" w:eastAsia="Cairo"/>
          <w:b w:val="0"/>
          <w:sz w:val="22"/>
        </w:rPr>
        <w:t>If regulation and standards represent the settled center of the field, agentic AI represents its unsettled edge. The shift from systems that recommend to systems that act is the most significant change in the risk landscape since large language models entered the enterprise.</w:t>
      </w:r>
    </w:p>
    <w:p>
      <w:pPr>
        <w:spacing w:line="324" w:lineRule="auto"/>
      </w:pPr>
      <w:r>
        <w:rPr>
          <w:rFonts w:ascii="Cairo" w:hAnsi="Cairo" w:eastAsia="Cairo"/>
          <w:b w:val="0"/>
          <w:sz w:val="22"/>
        </w:rPr>
        <w:t>The distinction is not academic. An advisory system that errs produces a bad suggestion that a human can catch. An agentic system that errs takes an action, and may take several more before anyone notices. The governance question changes accordingly. It is no longer only what did the model say, but what did the system do, on whose authority, and could we have stopped it.</w:t>
      </w:r>
    </w:p>
    <w:p>
      <w:pPr>
        <w:spacing w:line="324" w:lineRule="auto"/>
      </w:pPr>
      <w:r>
        <w:rPr>
          <w:rFonts w:ascii="Cairo" w:hAnsi="Cairo" w:eastAsia="Cairo"/>
          <w:b w:val="0"/>
          <w:sz w:val="22"/>
        </w:rPr>
        <w:t>The literature here is thin, and the thinness is dangerous, because exposure is not waiting for the literature to catch up. Organizations are deploying autonomous workflows now, often without the guardrail architecture, the staged authority limits, or the kill-switch discipline that the risk demands. The governance of agentic systems is, at present, the widest gap between what is being deployed and what is being governed.</w:t>
      </w:r>
    </w:p>
    <w:p>
      <w:pPr>
        <w:spacing w:line="324" w:lineRule="auto"/>
      </w:pPr>
      <w:r>
        <w:rPr>
          <w:rFonts w:ascii="Cairo" w:hAnsi="Cairo" w:eastAsia="Cairo"/>
          <w:b w:val="0"/>
          <w:sz w:val="22"/>
        </w:rPr>
        <w:t>This is also, for the strategist, the most defensible territory to occupy. The areas where governance is mature are crowded. The areas where it is immature are where authority is won. An organization, or a practice, that can credibly govern autonomous and multi-agent systems holds a position that the broad market cannot yet contest.</w:t>
      </w:r>
    </w:p>
    <w:p>
      <w:pPr>
        <w:spacing w:line="324" w:lineRule="auto"/>
      </w:pPr>
      <w:r>
        <w:rPr>
          <w:rFonts w:ascii="Cairo" w:hAnsi="Cairo" w:eastAsia="Cairo"/>
          <w:b w:val="0"/>
          <w:sz w:val="22"/>
        </w:rPr>
        <w:t>I want to dwell on a risk that almost every framework omits, because it is the one I believe will define the next phase of the field. It is the tendency of AI systems to be agreeable rather than accurate. To flatter. To confirm. To tell the powerful what they wish to hear.</w:t>
      </w:r>
    </w:p>
    <w:p>
      <w:pPr>
        <w:spacing w:line="324" w:lineRule="auto"/>
      </w:pPr>
      <w:r>
        <w:rPr>
          <w:rFonts w:ascii="Cairo" w:hAnsi="Cairo" w:eastAsia="Cairo"/>
          <w:b w:val="0"/>
          <w:sz w:val="22"/>
        </w:rPr>
        <w:t>We have a word for this in human organizations. We call it sycophancy, and we have spent centuries building governance structures, the independent board, the dissenting opinion, the auditor who does not report to the audited, precisely to defend against it. We understand, viscerally, that an adviser who only agrees is worse than no adviser at all, because the agreement is mistaken for validation.</w:t>
      </w:r>
    </w:p>
    <w:p>
      <w:pPr>
        <w:spacing w:line="324" w:lineRule="auto"/>
      </w:pPr>
      <w:r>
        <w:rPr>
          <w:rFonts w:ascii="Cairo" w:hAnsi="Cairo" w:eastAsia="Cairo"/>
          <w:b w:val="0"/>
          <w:sz w:val="22"/>
        </w:rPr>
        <w:t>We have deployed AI systems with exactly this defect and, for the most part, failed to name it. A model that subtly shapes its answer to match the apparent preference of the user is not a harmless quirk of training. It is a decision-corrupting risk, and it is most corrosive at the top of the organization, where the stakes are highest and the appetite for comfortable answers is greatest. An AI that agrees with a flawed strategy because the executive clearly favors it has not assisted the decision. It has sabotaged it, politely.</w:t>
      </w:r>
    </w:p>
    <w:p>
      <w:pPr>
        <w:spacing w:line="324" w:lineRule="auto"/>
      </w:pPr>
      <w:r>
        <w:rPr>
          <w:rFonts w:ascii="Cairo" w:hAnsi="Cairo" w:eastAsia="Cairo"/>
          <w:b w:val="0"/>
          <w:sz w:val="22"/>
        </w:rPr>
        <w:t>The governance response is not to demand that models be smarter. It is to demand that they be honest, and to instrument that honesty. This means naming the failure patterns, flattery bias, confirmation drift, authority deference, false consensus, and testing for them deliberately, the way a careful organization tests its financial controls. It means treating an AI that cannot be trusted to disagree as a system that is not yet fit for consequential use.</w:t>
      </w:r>
    </w:p>
    <w:p>
      <w:pPr>
        <w:spacing w:line="324" w:lineRule="auto"/>
      </w:pPr>
      <w:r>
        <w:rPr>
          <w:rFonts w:ascii="Cairo" w:hAnsi="Cairo" w:eastAsia="Cairo"/>
          <w:b w:val="0"/>
          <w:sz w:val="22"/>
        </w:rPr>
        <w:t>This is the conviction at the center of my work, and it can be stated simply. Artificial intelligence does not fail because it is insufficiently intelligent. It fails because it agrees with you. Governing for that failure is, I believe, the most important and most neglected frontier in the field.</w:t>
      </w:r>
    </w:p>
    <w:p>
      <w:pPr>
        <w:spacing w:line="324" w:lineRule="auto"/>
      </w:pPr>
      <w:r>
        <w:rPr>
          <w:rFonts w:ascii="Cairo" w:hAnsi="Cairo" w:eastAsia="Cairo"/>
          <w:b w:val="0"/>
          <w:sz w:val="22"/>
        </w:rPr>
        <w:t>There is a final, structural failure in how AI governance is currently offered, and it is one of access. The available guidance is overwhelmingly calibrated for the large enterprise with a dedicated risk function. It assumes a chief AI officer, a compliance team, and a budget to match. For the vast majority of organizations, this guidance is not wrong. It is simply unusable.</w:t>
      </w:r>
    </w:p>
    <w:p>
      <w:pPr>
        <w:spacing w:line="324" w:lineRule="auto"/>
      </w:pPr>
      <w:r>
        <w:rPr>
          <w:rFonts w:ascii="Cairo" w:hAnsi="Cairo" w:eastAsia="Cairo"/>
          <w:b w:val="0"/>
          <w:sz w:val="22"/>
        </w:rPr>
        <w:t>Consider the obligations and the capacity in the same frame. A five-person company and a fifty-thousand-person ministry face many of the same regulatory duties under the same risk taxonomy. They do not have remotely the same capacity to meet them. A governance instrument that is right for the ministry will paralyze the startup, and a governance instrument that is right for the startup will not satisfy the ministry's regulators. Capacity, not merely headcount, is what determines what an organization can actually do.</w:t>
      </w:r>
    </w:p>
    <w:p>
      <w:pPr>
        <w:spacing w:line="324" w:lineRule="auto"/>
      </w:pPr>
      <w:r>
        <w:rPr>
          <w:rFonts w:ascii="Cairo" w:hAnsi="Cairo" w:eastAsia="Cairo"/>
          <w:b w:val="0"/>
          <w:sz w:val="22"/>
        </w:rPr>
        <w:t>The answer is not more documents. It is right-sized governance: one rigorous body of method, expressed at the depth each organization can absorb. The micro firm needs a one-page register and a single habit of asking the system to argue the opposite case. The national ministry needs named accountable officers, auditable decision traces, transparency obligations, and federated coordination across units. Same discipline, calibrated to capacity. The organizations that have been excluded from governance are not unwilling. They have been underserved.</w:t>
      </w:r>
    </w:p>
    <w:p>
      <w:pPr>
        <w:spacing w:line="324" w:lineRule="auto"/>
      </w:pPr>
      <w:r>
        <w:rPr>
          <w:rFonts w:ascii="Cairo" w:hAnsi="Cairo" w:eastAsia="Cairo"/>
          <w:b w:val="0"/>
          <w:sz w:val="22"/>
        </w:rPr>
        <w:t>This matters beyond fairness. The organizations currently left out of the governance conversation are, in aggregate, where the largest volume of ungoverned AI now operates. Closing the inclusion gap is not charity. It is risk reduction at scale.</w:t>
      </w:r>
    </w:p>
    <w:p>
      <w:pPr>
        <w:spacing w:line="324" w:lineRule="auto"/>
      </w:pPr>
      <w:r>
        <w:rPr>
          <w:rFonts w:ascii="Cairo" w:hAnsi="Cairo" w:eastAsia="Cairo"/>
          <w:b w:val="0"/>
          <w:sz w:val="22"/>
        </w:rPr>
        <w:t>The diagnosis points to the prescription. Across the work I have done with organizations of every size and sector, the ones that pull ahead share a small number of disciplines.</w:t>
      </w:r>
    </w:p>
    <w:p>
      <w:pPr>
        <w:spacing w:line="324" w:lineRule="auto"/>
      </w:pPr>
      <w:r>
        <w:rPr>
          <w:rFonts w:ascii="Cairo" w:hAnsi="Cairo" w:eastAsia="Cairo"/>
          <w:b w:val="0"/>
          <w:sz w:val="22"/>
        </w:rPr>
        <w:t>They treat governance as a system, not a document. A policy that sits in a folder governs nothing. The leaders operate on a cadence, weekly, monthly, quarterly, and they re-measure their own readiness rather than assuming it.</w:t>
      </w:r>
    </w:p>
    <w:p>
      <w:pPr>
        <w:spacing w:line="324" w:lineRule="auto"/>
      </w:pPr>
      <w:r>
        <w:rPr>
          <w:rFonts w:ascii="Cairo" w:hAnsi="Cairo" w:eastAsia="Cairo"/>
          <w:b w:val="0"/>
          <w:sz w:val="22"/>
        </w:rPr>
        <w:t>They right-size deliberately. They resist both the temptation to over-engineer, which stalls the small, and the temptation to under-govern, which exposes the large. They match the instrument to the capacity.</w:t>
      </w:r>
    </w:p>
    <w:p>
      <w:pPr>
        <w:spacing w:line="324" w:lineRule="auto"/>
      </w:pPr>
      <w:r>
        <w:rPr>
          <w:rFonts w:ascii="Cairo" w:hAnsi="Cairo" w:eastAsia="Cairo"/>
          <w:b w:val="0"/>
          <w:sz w:val="22"/>
        </w:rPr>
        <w:t>They instrument the uncomfortable risks. They test for sycophancy and confident error the way they test for security vulnerabilities, because they understand that the politely wrong answer is the expensive one.</w:t>
      </w:r>
    </w:p>
    <w:p>
      <w:pPr>
        <w:spacing w:line="324" w:lineRule="auto"/>
      </w:pPr>
      <w:r>
        <w:rPr>
          <w:rFonts w:ascii="Cairo" w:hAnsi="Cairo" w:eastAsia="Cairo"/>
          <w:b w:val="0"/>
          <w:sz w:val="22"/>
        </w:rPr>
        <w:t>They govern what they buy, not only what they build. The majority of enterprise AI exposure now arrives through purchased tools and vendors, and the leaders apply governance at the point of procurement, not after deployment.</w:t>
      </w:r>
    </w:p>
    <w:p>
      <w:pPr>
        <w:spacing w:line="324" w:lineRule="auto"/>
      </w:pPr>
      <w:r>
        <w:rPr>
          <w:rFonts w:ascii="Cairo" w:hAnsi="Cairo" w:eastAsia="Cairo"/>
          <w:b w:val="0"/>
          <w:sz w:val="22"/>
        </w:rPr>
        <w:t>They prove outcomes. They do not assert that governance works. They document the risk avoided and the cost of inaction averted, because in the boardroom, evidence persuades and assertion does not.</w:t>
      </w:r>
    </w:p>
    <w:p>
      <w:pPr>
        <w:spacing w:line="324" w:lineRule="auto"/>
      </w:pPr>
      <w:r>
        <w:rPr>
          <w:rFonts w:ascii="Cairo" w:hAnsi="Cairo" w:eastAsia="Cairo"/>
          <w:b w:val="0"/>
          <w:sz w:val="22"/>
        </w:rPr>
        <w:t>None of these disciplines is exotic. What is rare is the will to industrialize them, to turn them from intentions into a system that runs whether or not anyone is watching. That industrialization is the work of the coming year.</w:t>
      </w:r>
    </w:p>
    <w:p>
      <w:pPr>
        <w:spacing w:line="324" w:lineRule="auto"/>
      </w:pPr>
      <w:r>
        <w:rPr>
          <w:rFonts w:ascii="Cairo" w:hAnsi="Cairo" w:eastAsia="Cairo"/>
          <w:b w:val="0"/>
          <w:sz w:val="22"/>
        </w:rPr>
        <w:t>The first decade of AI governance was the decade of principle. We learned what we believed. The decade now beginning is the decade of execution. We will be judged not by what we declared, but by what we can demonstrate.</w:t>
      </w:r>
    </w:p>
    <w:p>
      <w:pPr>
        <w:spacing w:line="324" w:lineRule="auto"/>
      </w:pPr>
      <w:r>
        <w:rPr>
          <w:rFonts w:ascii="Cairo" w:hAnsi="Cairo" w:eastAsia="Cairo"/>
          <w:b w:val="0"/>
          <w:sz w:val="22"/>
        </w:rPr>
        <w:t>The organizations that internalize this shift, that move from admiring frameworks to running operating systems, from generic guidance to right-sized instruments, from comfortable agreement to instrumented honesty, will not merely comply. They will build a durable advantage out of trust, at a moment when trust in artificial intelligence is the scarcest resource in the market.</w:t>
      </w:r>
    </w:p>
    <w:p>
      <w:pPr>
        <w:spacing w:line="324" w:lineRule="auto"/>
      </w:pPr>
      <w:r>
        <w:rPr>
          <w:rFonts w:ascii="Cairo" w:hAnsi="Cairo" w:eastAsia="Cairo"/>
          <w:b w:val="0"/>
          <w:sz w:val="22"/>
        </w:rPr>
        <w:t>That is the opportunity, and it is the reason this report exists. The gap between principle and practice is wide. It is also, for those willing to do the unglamorous work of execution, the most valuable territory in the field.</w:t>
      </w:r>
    </w:p>
    <w:p>
      <w:pPr>
        <w:pBdr>
          <w:top w:val="single" w:sz="8" w:color="BDE051"/>
        </w:pBdr>
      </w:pPr>
      <w:r>
        <w:rPr>
          <w:rFonts w:ascii="Cairo" w:hAnsi="Cairo" w:eastAsia="Cairo"/>
          <w:b/>
          <w:color w:val="2A5230"/>
          <w:sz w:val="21"/>
        </w:rPr>
        <w:t xml:space="preserve">Your next step: </w:t>
      </w:r>
      <w:r>
        <w:rPr>
          <w:rFonts w:ascii="Cairo" w:hAnsi="Cairo" w:eastAsia="Cairo"/>
          <w:b w:val="0"/>
          <w:sz w:val="21"/>
        </w:rPr>
        <w:t>Get The Intelligence Subscription in the Execution Library (www.aigovernancechain.com/storefront.html, section: Recurring programs). Every instrument in the Execution Library is also included in the Governance Vault, the all-access annual licence.</w:t>
      </w:r>
    </w:p>
    <w:p>
      <w:pPr>
        <w:spacing w:line="324" w:lineRule="auto"/>
      </w:pPr>
      <w:r>
        <w:rPr>
          <w:rFonts w:ascii="Cairo" w:hAnsi="Cairo" w:eastAsia="Cairo"/>
          <w:b w:val="0"/>
          <w:sz w:val="22"/>
        </w:rPr>
        <w:t>Mathieu K. Gouanou is a strategist, AI Architect, and AI governance specialist with decades of professional experience spanning business analysis, business process re-engineering, agentic AI and orchestration, and the governance of systems approaching scale. He is a member of the Harvard Business Review Advisory Council. He is the author of the AI GOVERNANCE CHAIN™ framework, a right-sized, multilingual body of governance method serving organizations from three people to national institutions, including the AI Sycophancy Risk Register and the AI Governance Health Score.</w:t>
      </w:r>
    </w:p>
    <w:p>
      <w:pPr>
        <w:spacing w:line="324" w:lineRule="auto"/>
      </w:pPr>
      <w:r>
        <w:rPr>
          <w:rFonts w:ascii="Cairo" w:hAnsi="Cairo" w:eastAsia="Cairo"/>
          <w:b w:val="0"/>
          <w:sz w:val="22"/>
        </w:rPr>
        <w:t>The State of AI Governance is the quarterly flagship publication of AI GOVERNANCE CHAIN™. It is intended as a citable reference for boards, chief AI officers, compliance leaders, and the architects responsible for building AI that can be trusted. Published quarterly. The first edition is published on June 30, 2026, the second edition on September 30, 2026, and the third edition on December 21, 2026. Suggested citation: Mathieu K. Gouanou (2026). The Q2 - 2026 State of AI Governance: From Principle to Practice. AI GOVERNANCE CHAIN™.</w:t>
      </w:r>
    </w:p>
    <w:sectPr w:rsidR="00FC693F" w:rsidRPr="0006063C" w:rsidSect="00034616">
      <w:footerReference w:type="default" r:id="rId9"/>
      <w:pgSz w:w="12240" w:h="15840"/>
      <w:pgMar w:top="1077" w:right="1077" w:bottom="107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sz w:val="18"/>
        <w:color w:val="2a5230"/>
      </w:rPr>
      <w:fldChar w:fldCharType="begin"/>
    </w:r>
    <w:r>
      <w:rPr>
        <w:rFonts w:ascii="Cairo"/>
        <w:sz w:val="18"/>
        <w:color w:val="2a5230"/>
      </w:rPr>
      <w:instrText xml:space="preserve"> PAGE </w:instrText>
    </w:r>
    <w:r>
      <w:rPr>
        <w:rFonts w:ascii="Cairo"/>
        <w:sz w:val="18"/>
        <w:color w:val="2a5230"/>
      </w:rPr>
      <w:fldChar w:fldCharType="end"/>
    </w:r>
    <w:r>
      <w:rPr>
        <w:rFonts w:ascii="Cairo"/>
        <w:sz w:val="18"/>
        <w:color w:val="2a5230"/>
      </w:rPr>
      <w:t xml:space="preserve">/</w:t>
    </w:r>
    <w:r>
      <w:rPr>
        <w:rFonts w:ascii="Cairo"/>
        <w:sz w:val="18"/>
        <w:color w:val="2a5230"/>
      </w:rPr>
      <w:fldChar w:fldCharType="begin"/>
    </w:r>
    <w:r>
      <w:rPr>
        <w:rFonts w:ascii="Cairo"/>
        <w:sz w:val="18"/>
        <w:color w:val="2a5230"/>
      </w:rPr>
      <w:instrText xml:space="preserve"> NUMPAGES </w:instrText>
    </w:r>
    <w:r>
      <w:rPr>
        <w:rFonts w:ascii="Cairo"/>
        <w:sz w:val="18"/>
        <w:color w:val="2a5230"/>
      </w:rP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