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</w:pPr>
      <w:r>
        <w:rPr>
          <w:rFonts w:ascii="Bakbak One" w:hAnsi="Bakbak One" w:eastAsia="Bakbak One"/>
          <w:b/>
          <w:color w:val="1E3D21"/>
          <w:sz w:val="38"/>
        </w:rPr>
        <w:t>The Three Levels of AI Assurance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 free reference from AI GOVERNANCE CHAIN™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Abbreviations and Acronyms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No prior knowledge is assumed. Every acronym used in this document is defined below.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AI : Artificial Intelligence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ISO/IEC 42001 : the international standard for Artificial Intelligence Management Systems, published in December 2023 by the International Organization for Standardization (ISO) and the International Electrotechnical Commission (IEC)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Why assurance comes in levels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Not all proof is equal. A claim you make about yourself is weaker than a review by someone independent inside your organization, which is weaker than a verdict from an outside party. Knowing which level you are at, and which level your stakeholders require, prevents two costly mistakes: over-investing in formal audit when self-assurance would do, and claiming trust you have not earned.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This is the WHAT and the WHY. The instruments to operate each level are the paid layer.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Level 1: First-party assurance (self-assessment)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You assess your own governance against a standard and document the result.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Strength: fast, low cost, builds the evidence habit.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Limit: the assessor and the assessed are the same party, so external trust is low.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Use it for: internal readiness, Micro and Small organizations, the starting point for everyone.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Proof it produces: a dated self-assessment with evidence references.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Level 2: Second-party assurance (independent internal review)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 person or function independent of the build team reviews the governance.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Strength: materially more credible, catches the blind spots the builders cannot see.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Limit: still inside the organization, so a skeptical regulator or buyer may want more.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Use it for: high-risk systems, Mid and Large organizations, board assurance.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Proof it produces: an independent review report with findings and management response.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Level 3: Third-party assurance (external audit and certification)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An outside body audits the governance and issues a verdict, up to formal certification (for example, against ISO/IEC 42001).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Strength: the highest level of external trust, often required for procurement and regulation.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Limit: the most time and cost, requires the lower levels to be in place first.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Use it for: Enterprise, public sector, regulated industries, certification goals.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Proof it produces: an audit opinion or certificate recognized by third parties.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The governing principle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Assurance rises with independence. The further the assessor sits from the thing being assessed, the more the proof is worth to an outsider. Build from Level 1 upward. You cannot credibly reach Level 3 without the evidence discipline of Levels 1 and 2.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An anonymized case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 public agency (T4, public) was told by its oversight body to obtain third-party certification within a year. It tried to jump straight to Level 3 and failed the readiness stage, because it had no first-party evidence trail to audit. It spent six months building Level 1 and Level 2 discipline, then passed. The lesson is structural: assurance is a ladder, not a leap.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Where the free version stops, and the paid version begins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This reference tells you which level you need. The AI Assurance and Audit Kit (paid) gives you the working instruments to operate each level: the self-assessment protocol, the independent review template, the audit-evidence pack, and the certification-readiness map.</w:t>
      </w:r>
    </w:p>
    <w:p>
      <w:pPr>
        <w:pBdr>
          <w:top w:val="single" w:sz="8" w:color="BDE051"/>
        </w:pBdr>
      </w:pPr>
    </w:p>
    <w:p>
      <w:r>
        <w:rPr>
          <w:rFonts w:ascii="Cairo" w:hAnsi="Cairo" w:eastAsia="Cairo"/>
          <w:b/>
          <w:color w:val="2A5230"/>
          <w:sz w:val="21"/>
        </w:rPr>
        <w:t xml:space="preserve">Your next step: </w:t>
      </w:r>
      <w:r>
        <w:rPr>
          <w:rFonts w:ascii="Cairo" w:hAnsi="Cairo" w:eastAsia="Cairo"/>
          <w:b w:val="0"/>
          <w:sz w:val="21"/>
        </w:rPr>
        <w:t>Get the AI Assurance and Audit Kit, Full Edition in the Execution Library (www.aigovernancechain.com/storefront.html, section: The Core Governance Kits). Every instrument in the Execution Library is also included in the Governance Vault , the all-access annual licence.</w:t>
      </w:r>
    </w:p>
    <w:p>
      <w:pPr>
        <w:pBdr>
          <w:top w:val="single" w:sz="8" w:color="BDE051"/>
        </w:pBdr>
      </w:pPr>
    </w:p>
    <w:p>
      <w:pPr>
        <w:pBdr>
          <w:top w:val="single" w:sz="8" w:color="BDE051"/>
        </w:pBdr>
      </w:pP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AI GOVERNANCE CHAIN™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AI Governance Framework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(c) 2026 Mathieu K. Gouanou. All rights reserved.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Member, Harvard Business Review Advisory Council.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Document standard: human-first AI governance.</w:t>
      </w:r>
    </w:p>
    <w:sectPr w:rsidR="00FC693F" w:rsidRPr="0006063C" w:rsidSect="00034616">
      <w:footerReference w:type="default" r:id="rId9"/>
      <w:pgSz w:w="12240" w:h="15840"/>
      <w:pgMar w:top="1077" w:right="1077" w:bottom="107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/>
        <w:sz w:val="18"/>
        <w:color w:val="2a5230"/>
      </w:rPr>
      <w:fldChar w:fldCharType="begin"/>
    </w:r>
    <w:r>
      <w:rPr>
        <w:rFonts w:ascii="Cairo"/>
        <w:sz w:val="18"/>
        <w:color w:val="2a5230"/>
      </w:rPr>
      <w:instrText xml:space="preserve"> PAGE </w:instrText>
    </w:r>
    <w:r>
      <w:rPr>
        <w:rFonts w:ascii="Cairo"/>
        <w:sz w:val="18"/>
        <w:color w:val="2a5230"/>
      </w:rPr>
      <w:fldChar w:fldCharType="end"/>
    </w:r>
    <w:r>
      <w:rPr>
        <w:rFonts w:ascii="Cairo"/>
        <w:sz w:val="18"/>
        <w:color w:val="2a5230"/>
      </w:rPr>
      <w:t xml:space="preserve">/</w:t>
    </w:r>
    <w:r>
      <w:rPr>
        <w:rFonts w:ascii="Cairo"/>
        <w:sz w:val="18"/>
        <w:color w:val="2a5230"/>
      </w:rPr>
      <w:fldChar w:fldCharType="begin"/>
    </w:r>
    <w:r>
      <w:rPr>
        <w:rFonts w:ascii="Cairo"/>
        <w:sz w:val="18"/>
        <w:color w:val="2a5230"/>
      </w:rPr>
      <w:instrText xml:space="preserve"> NUMPAGES </w:instrText>
    </w:r>
    <w:r>
      <w:rPr>
        <w:rFonts w:ascii="Cairo"/>
        <w:sz w:val="18"/>
        <w:color w:val="2a5230"/>
      </w:rPr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