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Bakbak One" w:hAnsi="Bakbak One" w:eastAsia="Bakbak One"/>
          <w:b/>
          <w:color w:val="48994E"/>
          <w:sz w:val="40"/>
        </w:rPr>
        <w:t>El Atlas mundial: de la regulación a la acción</w:t>
      </w:r>
    </w:p>
    <w:p>
      <w:pPr>
        <w:spacing w:line="312" w:lineRule="auto"/>
      </w:pPr>
      <w:r>
        <w:rPr>
          <w:rFonts w:ascii="Cairo" w:hAnsi="Cairo" w:eastAsia="Cairo"/>
          <w:b w:val="0"/>
          <w:color w:val="222A22"/>
          <w:sz w:val="23"/>
        </w:rPr>
        <w:t>La edición gratuita: cada gran régimen de gobernanza de la IA en el mundo, verificado, en un solo mapa</w:t>
      </w:r>
    </w:p>
    <w:p>
      <w:pPr>
        <w:spacing w:line="312" w:lineRule="auto"/>
      </w:pPr>
      <w:r>
        <w:rPr>
          <w:rFonts w:ascii="Cairo" w:hAnsi="Cairo" w:eastAsia="Cairo"/>
          <w:b w:val="0"/>
          <w:color w:val="222A22"/>
          <w:sz w:val="23"/>
        </w:rPr>
        <w:t>Por Mathieu K. Gouanou, AI GOVERNANCE CHAIN™</w:t>
      </w:r>
    </w:p>
    <w:p>
      <w:pPr>
        <w:spacing w:before="240"/>
      </w:pPr>
      <w:r>
        <w:rPr>
          <w:rFonts w:ascii="Bakbak One" w:hAnsi="Bakbak One" w:eastAsia="Bakbak One"/>
          <w:b/>
          <w:color w:val="48994E"/>
          <w:sz w:val="27"/>
        </w:rPr>
        <w:t>Abreviaturas y acrónimos</w:t>
      </w:r>
    </w:p>
    <w:p>
      <w:pPr>
        <w:spacing w:line="312" w:lineRule="auto"/>
      </w:pPr>
      <w:r>
        <w:rPr>
          <w:rFonts w:ascii="Cairo" w:hAnsi="Cairo" w:eastAsia="Cairo"/>
          <w:b w:val="0"/>
          <w:color w:val="222A22"/>
          <w:sz w:val="23"/>
        </w:rPr>
        <w:t>No se supone ningún conocimiento previo. Cada acrónimo utilizado en este documento se explica a continuación.</w:t>
      </w:r>
    </w:p>
    <w:tbl>
      <w:tblPr>
        <w:tblStyle w:val="TableGrid"/>
        <w:tblW w:type="auto" w:w="0"/>
        <w:tblLook w:firstColumn="1" w:firstRow="1" w:lastColumn="0" w:lastRow="0" w:noHBand="0" w:noVBand="1" w:val="04A0"/>
      </w:tblPr>
      <w:tblGrid>
        <w:gridCol w:w="5040"/>
        <w:gridCol w:w="5040"/>
      </w:tblGrid>
      <w:tr>
        <w:tc>
          <w:tcPr>
            <w:tcW w:type="dxa" w:w="5040"/>
            <w:shd w:val="clear" w:fill="48994E"/>
          </w:tcPr>
          <w:p>
            <w:r/>
            <w:r>
              <w:rPr>
                <w:rFonts w:ascii="Cairo" w:hAnsi="Cairo" w:eastAsia="Cairo"/>
                <w:b/>
                <w:color w:val="FFFFFF"/>
                <w:sz w:val="21"/>
              </w:rPr>
              <w:t>Término</w:t>
            </w:r>
          </w:p>
        </w:tc>
        <w:tc>
          <w:tcPr>
            <w:tcW w:type="dxa" w:w="5040"/>
            <w:shd w:val="clear" w:fill="48994E"/>
          </w:tcPr>
          <w:p>
            <w:r/>
            <w:r>
              <w:rPr>
                <w:rFonts w:ascii="Cairo" w:hAnsi="Cairo" w:eastAsia="Cairo"/>
                <w:b/>
                <w:color w:val="FFFFFF"/>
                <w:sz w:val="21"/>
              </w:rPr>
              <w:t>Significado</w:t>
            </w:r>
          </w:p>
        </w:tc>
      </w:tr>
      <w:tr>
        <w:tc>
          <w:tcPr>
            <w:tcW w:type="dxa" w:w="5040"/>
          </w:tcPr>
          <w:p>
            <w:r/>
            <w:r>
              <w:rPr>
                <w:rFonts w:ascii="Cairo" w:hAnsi="Cairo" w:eastAsia="Cairo"/>
                <w:b/>
                <w:color w:val="222A22"/>
                <w:sz w:val="21"/>
              </w:rPr>
              <w:t>IA</w:t>
            </w:r>
          </w:p>
        </w:tc>
        <w:tc>
          <w:tcPr>
            <w:tcW w:type="dxa" w:w="5040"/>
          </w:tcPr>
          <w:p>
            <w:r/>
            <w:r>
              <w:rPr>
                <w:rFonts w:ascii="Cairo" w:hAnsi="Cairo" w:eastAsia="Cairo"/>
                <w:b w:val="0"/>
                <w:color w:val="222A22"/>
                <w:sz w:val="21"/>
              </w:rPr>
              <w:t>inteligencia artificial.</w:t>
            </w:r>
          </w:p>
        </w:tc>
      </w:tr>
      <w:tr>
        <w:tc>
          <w:tcPr>
            <w:tcW w:type="dxa" w:w="5040"/>
            <w:shd w:val="clear" w:fill="EFF5E4"/>
          </w:tcPr>
          <w:p>
            <w:r/>
            <w:r>
              <w:rPr>
                <w:rFonts w:ascii="Cairo" w:hAnsi="Cairo" w:eastAsia="Cairo"/>
                <w:b/>
                <w:color w:val="222A22"/>
                <w:sz w:val="21"/>
              </w:rPr>
              <w:t>Reglamento europeo de IA</w:t>
            </w:r>
          </w:p>
        </w:tc>
        <w:tc>
          <w:tcPr>
            <w:tcW w:type="dxa" w:w="5040"/>
            <w:shd w:val="clear" w:fill="EFF5E4"/>
          </w:tcPr>
          <w:p>
            <w:r/>
            <w:r>
              <w:rPr>
                <w:rFonts w:ascii="Cairo" w:hAnsi="Cairo" w:eastAsia="Cairo"/>
                <w:b w:val="0"/>
                <w:color w:val="222A22"/>
                <w:sz w:val="21"/>
              </w:rPr>
              <w:t>el reglamento de la Unión Europea sobre inteligencia artificial, Reglamento (UE) 2024/1689.</w:t>
            </w:r>
          </w:p>
        </w:tc>
      </w:tr>
      <w:tr>
        <w:tc>
          <w:tcPr>
            <w:tcW w:type="dxa" w:w="5040"/>
          </w:tcPr>
          <w:p>
            <w:r/>
            <w:r>
              <w:rPr>
                <w:rFonts w:ascii="Cairo" w:hAnsi="Cairo" w:eastAsia="Cairo"/>
                <w:b/>
                <w:color w:val="222A22"/>
                <w:sz w:val="21"/>
              </w:rPr>
              <w:t>LGPD</w:t>
            </w:r>
          </w:p>
        </w:tc>
        <w:tc>
          <w:tcPr>
            <w:tcW w:type="dxa" w:w="5040"/>
          </w:tcPr>
          <w:p>
            <w:r/>
            <w:r>
              <w:rPr>
                <w:rFonts w:ascii="Cairo" w:hAnsi="Cairo" w:eastAsia="Cairo"/>
                <w:b w:val="0"/>
                <w:color w:val="222A22"/>
                <w:sz w:val="21"/>
              </w:rPr>
              <w:t>Lei Geral de Proteção de Dados, la ley general brasileña de protección de datos, ley 13.709/2018.</w:t>
            </w:r>
          </w:p>
        </w:tc>
      </w:tr>
      <w:tr>
        <w:tc>
          <w:tcPr>
            <w:tcW w:type="dxa" w:w="5040"/>
            <w:shd w:val="clear" w:fill="EFF5E4"/>
          </w:tcPr>
          <w:p>
            <w:r/>
            <w:r>
              <w:rPr>
                <w:rFonts w:ascii="Cairo" w:hAnsi="Cairo" w:eastAsia="Cairo"/>
                <w:b/>
                <w:color w:val="222A22"/>
                <w:sz w:val="21"/>
              </w:rPr>
              <w:t>ISO/IEC 42001</w:t>
            </w:r>
          </w:p>
        </w:tc>
        <w:tc>
          <w:tcPr>
            <w:tcW w:type="dxa" w:w="5040"/>
            <w:shd w:val="clear" w:fill="EFF5E4"/>
          </w:tcPr>
          <w:p>
            <w:r/>
            <w:r>
              <w:rPr>
                <w:rFonts w:ascii="Cairo" w:hAnsi="Cairo" w:eastAsia="Cairo"/>
                <w:b w:val="0"/>
                <w:color w:val="222A22"/>
                <w:sz w:val="21"/>
              </w:rPr>
              <w:t>la norma de sistema de gestión de la IA publicada por la Organización Internacional de Normalización y la Comisión Electrotécnica Internacional en diciembre de 2023.</w:t>
            </w:r>
          </w:p>
        </w:tc>
      </w:tr>
      <w:tr>
        <w:tc>
          <w:tcPr>
            <w:tcW w:type="dxa" w:w="5040"/>
          </w:tcPr>
          <w:p>
            <w:r/>
            <w:r>
              <w:rPr>
                <w:rFonts w:ascii="Cairo" w:hAnsi="Cairo" w:eastAsia="Cairo"/>
                <w:b/>
                <w:color w:val="222A22"/>
                <w:sz w:val="21"/>
              </w:rPr>
              <w:t>NIST AI RMF</w:t>
            </w:r>
          </w:p>
        </w:tc>
        <w:tc>
          <w:tcPr>
            <w:tcW w:type="dxa" w:w="5040"/>
          </w:tcPr>
          <w:p>
            <w:r/>
            <w:r>
              <w:rPr>
                <w:rFonts w:ascii="Cairo" w:hAnsi="Cairo" w:eastAsia="Cairo"/>
                <w:b w:val="0"/>
                <w:color w:val="222A22"/>
                <w:sz w:val="21"/>
              </w:rPr>
              <w:t>el marco de gestión de riesgos de la inteligencia artificial del National Institute of Standards and Technology de los Estados Unidos.</w:t>
            </w:r>
          </w:p>
        </w:tc>
      </w:tr>
      <w:tr>
        <w:tc>
          <w:tcPr>
            <w:tcW w:type="dxa" w:w="5040"/>
            <w:shd w:val="clear" w:fill="EFF5E4"/>
          </w:tcPr>
          <w:p>
            <w:r/>
            <w:r>
              <w:rPr>
                <w:rFonts w:ascii="Cairo" w:hAnsi="Cairo" w:eastAsia="Cairo"/>
                <w:b/>
                <w:color w:val="222A22"/>
                <w:sz w:val="21"/>
              </w:rPr>
              <w:t>OCDE</w:t>
            </w:r>
          </w:p>
        </w:tc>
        <w:tc>
          <w:tcPr>
            <w:tcW w:type="dxa" w:w="5040"/>
            <w:shd w:val="clear" w:fill="EFF5E4"/>
          </w:tcPr>
          <w:p>
            <w:r/>
            <w:r>
              <w:rPr>
                <w:rFonts w:ascii="Cairo" w:hAnsi="Cairo" w:eastAsia="Cairo"/>
                <w:b w:val="0"/>
                <w:color w:val="222A22"/>
                <w:sz w:val="21"/>
              </w:rPr>
              <w:t>la Organización para la Cooperación y el Desarrollo Económicos.</w:t>
            </w:r>
          </w:p>
        </w:tc>
      </w:tr>
      <w:tr>
        <w:tc>
          <w:tcPr>
            <w:tcW w:type="dxa" w:w="5040"/>
          </w:tcPr>
          <w:p>
            <w:r/>
            <w:r>
              <w:rPr>
                <w:rFonts w:ascii="Cairo" w:hAnsi="Cairo" w:eastAsia="Cairo"/>
                <w:b/>
                <w:color w:val="222A22"/>
                <w:sz w:val="21"/>
              </w:rPr>
              <w:t>UNESCO</w:t>
            </w:r>
          </w:p>
        </w:tc>
        <w:tc>
          <w:tcPr>
            <w:tcW w:type="dxa" w:w="5040"/>
          </w:tcPr>
          <w:p>
            <w:r/>
            <w:r>
              <w:rPr>
                <w:rFonts w:ascii="Cairo" w:hAnsi="Cairo" w:eastAsia="Cairo"/>
                <w:b w:val="0"/>
                <w:color w:val="222A22"/>
                <w:sz w:val="21"/>
              </w:rPr>
              <w:t>la Organización de las Naciones Unidas para la Educación, la Ciencia y la Cultura.</w:t>
            </w:r>
          </w:p>
        </w:tc>
      </w:tr>
      <w:tr>
        <w:tc>
          <w:tcPr>
            <w:tcW w:type="dxa" w:w="5040"/>
            <w:shd w:val="clear" w:fill="EFF5E4"/>
          </w:tcPr>
          <w:p>
            <w:r/>
            <w:r>
              <w:rPr>
                <w:rFonts w:ascii="Cairo" w:hAnsi="Cairo" w:eastAsia="Cairo"/>
                <w:b/>
                <w:color w:val="222A22"/>
                <w:sz w:val="21"/>
              </w:rPr>
              <w:t>ASEAN</w:t>
            </w:r>
          </w:p>
        </w:tc>
        <w:tc>
          <w:tcPr>
            <w:tcW w:type="dxa" w:w="5040"/>
            <w:shd w:val="clear" w:fill="EFF5E4"/>
          </w:tcPr>
          <w:p>
            <w:r/>
            <w:r>
              <w:rPr>
                <w:rFonts w:ascii="Cairo" w:hAnsi="Cairo" w:eastAsia="Cairo"/>
                <w:b w:val="0"/>
                <w:color w:val="222A22"/>
                <w:sz w:val="21"/>
              </w:rPr>
              <w:t>la Asociación de Naciones del Sudeste Asiático.</w:t>
            </w:r>
          </w:p>
        </w:tc>
      </w:tr>
      <w:tr>
        <w:tc>
          <w:tcPr>
            <w:tcW w:type="dxa" w:w="5040"/>
          </w:tcPr>
          <w:p>
            <w:r/>
            <w:r>
              <w:rPr>
                <w:rFonts w:ascii="Cairo" w:hAnsi="Cairo" w:eastAsia="Cairo"/>
                <w:b/>
                <w:color w:val="222A22"/>
                <w:sz w:val="21"/>
              </w:rPr>
              <w:t>UA</w:t>
            </w:r>
          </w:p>
        </w:tc>
        <w:tc>
          <w:tcPr>
            <w:tcW w:type="dxa" w:w="5040"/>
          </w:tcPr>
          <w:p>
            <w:r/>
            <w:r>
              <w:rPr>
                <w:rFonts w:ascii="Cairo" w:hAnsi="Cairo" w:eastAsia="Cairo"/>
                <w:b w:val="0"/>
                <w:color w:val="222A22"/>
                <w:sz w:val="21"/>
              </w:rPr>
              <w:t>la Unión Africana.</w:t>
            </w:r>
          </w:p>
        </w:tc>
      </w:tr>
      <w:tr>
        <w:tc>
          <w:tcPr>
            <w:tcW w:type="dxa" w:w="5040"/>
            <w:shd w:val="clear" w:fill="EFF5E4"/>
          </w:tcPr>
          <w:p>
            <w:r/>
            <w:r>
              <w:rPr>
                <w:rFonts w:ascii="Cairo" w:hAnsi="Cairo" w:eastAsia="Cairo"/>
                <w:b/>
                <w:color w:val="222A22"/>
                <w:sz w:val="21"/>
              </w:rPr>
              <w:t>EAU</w:t>
            </w:r>
          </w:p>
        </w:tc>
        <w:tc>
          <w:tcPr>
            <w:tcW w:type="dxa" w:w="5040"/>
            <w:shd w:val="clear" w:fill="EFF5E4"/>
          </w:tcPr>
          <w:p>
            <w:r/>
            <w:r>
              <w:rPr>
                <w:rFonts w:ascii="Cairo" w:hAnsi="Cairo" w:eastAsia="Cairo"/>
                <w:b w:val="0"/>
                <w:color w:val="222A22"/>
                <w:sz w:val="21"/>
              </w:rPr>
              <w:t>los Emiratos Árabes Unidos.</w:t>
            </w:r>
          </w:p>
        </w:tc>
      </w:tr>
      <w:tr>
        <w:tc>
          <w:tcPr>
            <w:tcW w:type="dxa" w:w="5040"/>
          </w:tcPr>
          <w:p>
            <w:r/>
            <w:r>
              <w:rPr>
                <w:rFonts w:ascii="Cairo" w:hAnsi="Cairo" w:eastAsia="Cairo"/>
                <w:b/>
                <w:color w:val="222A22"/>
                <w:sz w:val="21"/>
              </w:rPr>
              <w:t>PDPC</w:t>
            </w:r>
          </w:p>
        </w:tc>
        <w:tc>
          <w:tcPr>
            <w:tcW w:type="dxa" w:w="5040"/>
          </w:tcPr>
          <w:p>
            <w:r/>
            <w:r>
              <w:rPr>
                <w:rFonts w:ascii="Cairo" w:hAnsi="Cairo" w:eastAsia="Cairo"/>
                <w:b w:val="0"/>
                <w:color w:val="222A22"/>
                <w:sz w:val="21"/>
              </w:rPr>
              <w:t>la Personal Data Protection Commission de Singapur.</w:t>
            </w:r>
          </w:p>
        </w:tc>
      </w:tr>
      <w:tr>
        <w:tc>
          <w:tcPr>
            <w:tcW w:type="dxa" w:w="5040"/>
            <w:shd w:val="clear" w:fill="EFF5E4"/>
          </w:tcPr>
          <w:p>
            <w:r/>
            <w:r>
              <w:rPr>
                <w:rFonts w:ascii="Cairo" w:hAnsi="Cairo" w:eastAsia="Cairo"/>
                <w:b/>
                <w:color w:val="222A22"/>
                <w:sz w:val="21"/>
              </w:rPr>
              <w:t>METI</w:t>
            </w:r>
          </w:p>
        </w:tc>
        <w:tc>
          <w:tcPr>
            <w:tcW w:type="dxa" w:w="5040"/>
            <w:shd w:val="clear" w:fill="EFF5E4"/>
          </w:tcPr>
          <w:p>
            <w:r/>
            <w:r>
              <w:rPr>
                <w:rFonts w:ascii="Cairo" w:hAnsi="Cairo" w:eastAsia="Cairo"/>
                <w:b w:val="0"/>
                <w:color w:val="222A22"/>
                <w:sz w:val="21"/>
              </w:rPr>
              <w:t>el Ministerio de Economía, Comercio e Industria de Japón.</w:t>
            </w:r>
          </w:p>
        </w:tc>
      </w:tr>
      <w:tr>
        <w:tc>
          <w:tcPr>
            <w:tcW w:type="dxa" w:w="5040"/>
          </w:tcPr>
          <w:p>
            <w:r/>
            <w:r>
              <w:rPr>
                <w:rFonts w:ascii="Cairo" w:hAnsi="Cairo" w:eastAsia="Cairo"/>
                <w:b/>
                <w:color w:val="222A22"/>
                <w:sz w:val="21"/>
              </w:rPr>
              <w:t>SDAIA</w:t>
            </w:r>
          </w:p>
        </w:tc>
        <w:tc>
          <w:tcPr>
            <w:tcW w:type="dxa" w:w="5040"/>
          </w:tcPr>
          <w:p>
            <w:r/>
            <w:r>
              <w:rPr>
                <w:rFonts w:ascii="Cairo" w:hAnsi="Cairo" w:eastAsia="Cairo"/>
                <w:b w:val="0"/>
                <w:color w:val="222A22"/>
                <w:sz w:val="21"/>
              </w:rPr>
              <w:t>la Autoridad Saudí de Datos e Inteligencia Artificial.</w:t>
            </w:r>
          </w:p>
        </w:tc>
      </w:tr>
      <w:tr>
        <w:tc>
          <w:tcPr>
            <w:tcW w:type="dxa" w:w="5040"/>
            <w:shd w:val="clear" w:fill="EFF5E4"/>
          </w:tcPr>
          <w:p>
            <w:r/>
            <w:r>
              <w:rPr>
                <w:rFonts w:ascii="Cairo" w:hAnsi="Cairo" w:eastAsia="Cairo"/>
                <w:b/>
                <w:color w:val="222A22"/>
                <w:sz w:val="21"/>
              </w:rPr>
              <w:t>TRAIGA</w:t>
            </w:r>
          </w:p>
        </w:tc>
        <w:tc>
          <w:tcPr>
            <w:tcW w:type="dxa" w:w="5040"/>
            <w:shd w:val="clear" w:fill="EFF5E4"/>
          </w:tcPr>
          <w:p>
            <w:r/>
            <w:r>
              <w:rPr>
                <w:rFonts w:ascii="Cairo" w:hAnsi="Cairo" w:eastAsia="Cairo"/>
                <w:b w:val="0"/>
                <w:color w:val="222A22"/>
                <w:sz w:val="21"/>
              </w:rPr>
              <w:t>la Texas Responsible Artificial Intelligence Governance Act, la ley de Texas sobre la gobernanza responsable de la inteligencia artificial.</w:t>
            </w:r>
          </w:p>
        </w:tc>
      </w:tr>
      <w:tr>
        <w:tc>
          <w:tcPr>
            <w:tcW w:type="dxa" w:w="5040"/>
          </w:tcPr>
          <w:p>
            <w:r/>
            <w:r>
              <w:rPr>
                <w:rFonts w:ascii="Cairo" w:hAnsi="Cairo" w:eastAsia="Cairo"/>
                <w:b/>
                <w:color w:val="222A22"/>
                <w:sz w:val="21"/>
              </w:rPr>
              <w:t>BIPA</w:t>
            </w:r>
          </w:p>
        </w:tc>
        <w:tc>
          <w:tcPr>
            <w:tcW w:type="dxa" w:w="5040"/>
          </w:tcPr>
          <w:p>
            <w:r/>
            <w:r>
              <w:rPr>
                <w:rFonts w:ascii="Cairo" w:hAnsi="Cairo" w:eastAsia="Cairo"/>
                <w:b w:val="0"/>
                <w:color w:val="222A22"/>
                <w:sz w:val="21"/>
              </w:rPr>
              <w:t>la Biometric Information Privacy Act, la ley de Illinois sobre la privacidad de la información biométrica.</w:t>
            </w:r>
          </w:p>
        </w:tc>
      </w:tr>
      <w:tr>
        <w:tc>
          <w:tcPr>
            <w:tcW w:type="dxa" w:w="5040"/>
            <w:shd w:val="clear" w:fill="EFF5E4"/>
          </w:tcPr>
          <w:p>
            <w:r/>
            <w:r>
              <w:rPr>
                <w:rFonts w:ascii="Cairo" w:hAnsi="Cairo" w:eastAsia="Cairo"/>
                <w:b/>
                <w:color w:val="222A22"/>
                <w:sz w:val="21"/>
              </w:rPr>
              <w:t>SB / HB</w:t>
            </w:r>
          </w:p>
        </w:tc>
        <w:tc>
          <w:tcPr>
            <w:tcW w:type="dxa" w:w="5040"/>
            <w:shd w:val="clear" w:fill="EFF5E4"/>
          </w:tcPr>
          <w:p>
            <w:r/>
            <w:r>
              <w:rPr>
                <w:rFonts w:ascii="Cairo" w:hAnsi="Cairo" w:eastAsia="Cairo"/>
                <w:b w:val="0"/>
                <w:color w:val="222A22"/>
                <w:sz w:val="21"/>
              </w:rPr>
              <w:t>Senate Bill / House Bill, un proyecto de ley del Senado o de la Cámara de un estado de los Estados Unidos, seguido de su número.</w:t>
            </w:r>
          </w:p>
        </w:tc>
      </w:tr>
    </w:tbl>
    <w:p>
      <w:pPr>
        <w:spacing w:before="240"/>
      </w:pPr>
      <w:r>
        <w:rPr>
          <w:rFonts w:ascii="Bakbak One" w:hAnsi="Bakbak One" w:eastAsia="Bakbak One"/>
          <w:b/>
          <w:color w:val="48994E"/>
          <w:sz w:val="27"/>
        </w:rPr>
        <w:t>Por qué existe este atlas</w:t>
      </w:r>
    </w:p>
    <w:p>
      <w:pPr>
        <w:spacing w:line="312" w:lineRule="auto"/>
      </w:pPr>
      <w:r>
        <w:rPr>
          <w:rFonts w:ascii="Cairo" w:hAnsi="Cairo" w:eastAsia="Cairo"/>
          <w:b w:val="0"/>
          <w:color w:val="222A22"/>
          <w:sz w:val="23"/>
        </w:rPr>
        <w:t>La mayoría de las guías de gobernanza de la inteligencia artificial se escriben como si cada organización respondiera ante Bruselas o Washington. No es así. Sus obligaciones pueden estar escritas en Brasilia, en Lima, en Nairobi, en Singapur, en Seúl o en Abu Dabi, y evolucionan rápido. Este atlas coloca cada gran régimen en un solo mapa, para que una organización, esté donde esté, desde un equipo de tres personas hasta un ministerio nacional, pueda ver qué le aplica y qué hacer primero.</w:t>
      </w:r>
    </w:p>
    <w:p>
      <w:pPr>
        <w:spacing w:before="240"/>
      </w:pPr>
      <w:r>
        <w:rPr>
          <w:rFonts w:ascii="Bakbak One" w:hAnsi="Bakbak One" w:eastAsia="Bakbak One"/>
          <w:b/>
          <w:color w:val="48994E"/>
          <w:sz w:val="27"/>
        </w:rPr>
        <w:t>Cómo leer este atlas</w:t>
      </w:r>
    </w:p>
    <w:p>
      <w:pPr>
        <w:spacing w:line="312" w:lineRule="auto"/>
      </w:pPr>
      <w:r>
        <w:rPr>
          <w:rFonts w:ascii="Cairo" w:hAnsi="Cairo" w:eastAsia="Cairo"/>
          <w:b w:val="0"/>
          <w:color w:val="222A22"/>
          <w:sz w:val="23"/>
        </w:rPr>
        <w:t>Cada entrada nombra el instrumento, su estatus jurídico con la fecha de verificación, lo que exige de usted y la primera acción a emprender. Tres disciplinas gobiernan cada entrada. Primero, cada estatus está verificado al segundo trimestre de 2026, y la regulación evoluciona, razón por la cual el atlas se actualiza cada trimestre. Segundo, este atlas es una guía de gobernanza, no asesoría jurídica en ninguna jurisdicción. Tercero, cuando un régimen es un proyecto de ley o una estrategia nacional y no una ley vinculante, la entrada lo dice con claridad.</w:t>
      </w:r>
    </w:p>
    <w:p>
      <w:pPr>
        <w:spacing w:before="240"/>
      </w:pPr>
      <w:r>
        <w:rPr>
          <w:rFonts w:ascii="Bakbak One" w:hAnsi="Bakbak One" w:eastAsia="Bakbak One"/>
          <w:b/>
          <w:color w:val="48994E"/>
          <w:sz w:val="27"/>
        </w:rPr>
        <w:t>Europa: el régimen hacia el que converge el mundo</w:t>
      </w:r>
    </w:p>
    <w:p>
      <w:pPr>
        <w:spacing w:line="312" w:lineRule="auto"/>
      </w:pPr>
      <w:r>
        <w:rPr>
          <w:rFonts w:ascii="Cairo" w:hAnsi="Cairo" w:eastAsia="Cairo"/>
          <w:b/>
          <w:color w:val="48994E"/>
          <w:sz w:val="23"/>
        </w:rPr>
        <w:t xml:space="preserve">El Reglamento europeo de IA, Reglamento (UE) 2024/1689: </w:t>
      </w:r>
      <w:r>
        <w:rPr>
          <w:rFonts w:ascii="Cairo" w:hAnsi="Cairo" w:eastAsia="Cairo"/>
          <w:b w:val="0"/>
          <w:color w:val="222A22"/>
          <w:sz w:val="23"/>
        </w:rPr>
        <w:t>Estatus: en vigor, con obligaciones que se aplican progresivamente en fechas publicadas (verificado T2 2026). El primer marco integral del mundo, basado en niveles de riesgo: prácticas prohibidas y el deber de alfabetización en IA aplican desde febrero de 2025, con multas de hasta 35 millones de euros o el 7 por ciento de la facturación anual mundial por las violaciones más graves. Primera acción: clasifique cada sistema con la tarjeta de decisión de niveles de riesgo y el formulario de casos de uso.</w:t>
      </w:r>
    </w:p>
    <w:p>
      <w:pPr>
        <w:spacing w:before="240"/>
      </w:pPr>
      <w:r>
        <w:rPr>
          <w:rFonts w:ascii="Bakbak One" w:hAnsi="Bakbak One" w:eastAsia="Bakbak One"/>
          <w:b/>
          <w:color w:val="48994E"/>
          <w:sz w:val="27"/>
        </w:rPr>
        <w:t>Estados Unidos: el nivel federal</w:t>
      </w:r>
    </w:p>
    <w:p>
      <w:pPr>
        <w:spacing w:line="312" w:lineRule="auto"/>
      </w:pPr>
      <w:r>
        <w:rPr>
          <w:rFonts w:ascii="Cairo" w:hAnsi="Cairo" w:eastAsia="Cairo"/>
          <w:b/>
          <w:color w:val="48994E"/>
          <w:sz w:val="23"/>
        </w:rPr>
        <w:t xml:space="preserve">El NIST AI RMF y el panorama federal: </w:t>
      </w:r>
      <w:r>
        <w:rPr>
          <w:rFonts w:ascii="Cairo" w:hAnsi="Cairo" w:eastAsia="Cairo"/>
          <w:b w:val="0"/>
          <w:color w:val="222A22"/>
          <w:sz w:val="23"/>
        </w:rPr>
        <w:t>Estatus: el NIST AI RMF es un marco federal voluntario y no existe una ley federal integral sobre la IA en vigor; una moratoria federal propuesta sobre las leyes estatales de IA fue retirada del proyecto de ley presupuestaria de 2025 por un voto del Senado de 99 contra 1, de modo que el mosaico de leyes estatales presentado a continuación se mantiene (verificado T2 2026). Primera acción: construir la AI Governance Crosswalk Matrix en torno a las cuatro funciones del NIST, Gobernar, Mapear, Medir, Gestionar, de modo que cada control documentado una sola vez sea reutilizable en cada uno de los regímenes estatales siguientes.</w:t>
      </w:r>
    </w:p>
    <w:p>
      <w:pPr>
        <w:spacing w:before="240"/>
      </w:pPr>
      <w:r>
        <w:rPr>
          <w:rFonts w:ascii="Bakbak One" w:hAnsi="Bakbak One" w:eastAsia="Bakbak One"/>
          <w:b/>
          <w:color w:val="48994E"/>
          <w:sz w:val="27"/>
        </w:rPr>
        <w:t>Estados Unidos: el nivel de los estados</w:t>
      </w:r>
    </w:p>
    <w:p>
      <w:pPr>
        <w:spacing w:line="312" w:lineRule="auto"/>
      </w:pPr>
      <w:r>
        <w:rPr>
          <w:rFonts w:ascii="Cairo" w:hAnsi="Cairo" w:eastAsia="Cairo"/>
          <w:b w:val="0"/>
          <w:color w:val="222A22"/>
          <w:sz w:val="23"/>
        </w:rPr>
        <w:t>En ausencia de una ley federal integral, el derecho vinculante de la IA en los Estados Unidos se escribe en las capitales de los estados. Las entradas siguientes son los regímenes con sanciones y fechas. La mayoría retoma la lógica de los demás: una organización que cumple con Colorado en el fondo está en gran medida preparada para los otros.</w:t>
      </w:r>
    </w:p>
    <w:p>
      <w:pPr>
        <w:spacing w:line="312" w:lineRule="auto"/>
      </w:pPr>
      <w:r>
        <w:rPr>
          <w:rFonts w:ascii="Cairo" w:hAnsi="Cairo" w:eastAsia="Cairo"/>
          <w:b/>
          <w:color w:val="48994E"/>
          <w:sz w:val="23"/>
        </w:rPr>
        <w:t xml:space="preserve">Colorado, la ley de IA de Colorado, SB 24-205: </w:t>
      </w:r>
      <w:r>
        <w:rPr>
          <w:rFonts w:ascii="Cairo" w:hAnsi="Cairo" w:eastAsia="Cairo"/>
          <w:b w:val="0"/>
          <w:color w:val="222A22"/>
          <w:sz w:val="23"/>
        </w:rPr>
        <w:t>Estatus: adoptada en mayo de 2024, con entrada en vigor el 30 de junio de 2026 después de que la legislatura moviera la fecha en una sesión extraordinaria de 2025; la primera ley estatal integral sobre la IA (verificado T2 2026). Impone a los desarrolladores y a los implementadores de sistemas de IA de alto riesgo, en la contratación, el crédito, los seguros, la vivienda y decisiones consecuentes similares, una diligencia razonable contra la discriminación algorítmica, con evaluaciones de impacto y avisos a los consumidores. Primera acción: ejecutar el Algorithmic Impact Assessment Builder sobre cada sistema de decisión consecuente y luego emitir los avisos a los consumidores con el constructor de menciones de transparencia.</w:t>
      </w:r>
    </w:p>
    <w:p>
      <w:pPr>
        <w:spacing w:line="312" w:lineRule="auto"/>
      </w:pPr>
      <w:r>
        <w:rPr>
          <w:rFonts w:ascii="Cairo" w:hAnsi="Cairo" w:eastAsia="Cairo"/>
          <w:b/>
          <w:color w:val="48994E"/>
          <w:sz w:val="23"/>
        </w:rPr>
        <w:t xml:space="preserve">Texas, TRAIGA, House Bill 149: </w:t>
      </w:r>
      <w:r>
        <w:rPr>
          <w:rFonts w:ascii="Cairo" w:hAnsi="Cairo" w:eastAsia="Cairo"/>
          <w:b w:val="0"/>
          <w:color w:val="222A22"/>
          <w:sz w:val="23"/>
        </w:rPr>
        <w:t>Estatus: en vigor desde el 1 de enero de 2026 (verificado T2 2026). Una ley de prácticas prohibidas que cubre el despliegue público y privado, con un entorno de pruebas regulatorio, y aplicada por el fiscal general del estado. Primera acción: el Prohibited-Practices Register, que pasa cada sistema desplegado por el filtro de las categorías de uso prohibidas por la ley.</w:t>
      </w:r>
    </w:p>
    <w:p>
      <w:pPr>
        <w:spacing w:line="312" w:lineRule="auto"/>
      </w:pPr>
      <w:r>
        <w:rPr>
          <w:rFonts w:ascii="Cairo" w:hAnsi="Cairo" w:eastAsia="Cairo"/>
          <w:b/>
          <w:color w:val="48994E"/>
          <w:sz w:val="23"/>
        </w:rPr>
        <w:t xml:space="preserve">Illinois, BIPA y House Bill 3773: </w:t>
      </w:r>
      <w:r>
        <w:rPr>
          <w:rFonts w:ascii="Cairo" w:hAnsi="Cairo" w:eastAsia="Cairo"/>
          <w:b w:val="0"/>
          <w:color w:val="222A22"/>
          <w:sz w:val="23"/>
        </w:rPr>
        <w:t>Estatus: ambas en vigor; BIPA desde 2008, con un derecho de acción privado que ha producido algunos de los mayores acuerdos en materia de privacidad en los Estados Unidos, y HB 3773, que modifica la Illinois Human Rights Act para encuadrar la IA en las decisiones de empleo, desde el 1 de enero de 2026 (verificado T2 2026). Primera acción: el Biometric Consent Tracker sobre todo sistema que toque datos biométricos, y luego documentar las decisiones de empleo con la guía de decisión de la supervisión humana.</w:t>
      </w:r>
    </w:p>
    <w:p>
      <w:pPr>
        <w:spacing w:line="312" w:lineRule="auto"/>
      </w:pPr>
      <w:r>
        <w:rPr>
          <w:rFonts w:ascii="Cairo" w:hAnsi="Cairo" w:eastAsia="Cairo"/>
          <w:b/>
          <w:color w:val="48994E"/>
          <w:sz w:val="23"/>
        </w:rPr>
        <w:t xml:space="preserve">Nueva York, Local Law 144: </w:t>
      </w:r>
      <w:r>
        <w:rPr>
          <w:rFonts w:ascii="Cairo" w:hAnsi="Cairo" w:eastAsia="Cairo"/>
          <w:b w:val="0"/>
          <w:color w:val="222A22"/>
          <w:sz w:val="23"/>
        </w:rPr>
        <w:t>Estatus: en vigor y aplicada desde julio de 2023 (verificado T2 2026). Impone una auditoría de sesgo anual independiente y un aviso a los candidatos para las herramientas automatizadas de decisión de empleo utilizadas con candidatos de la ciudad de Nueva York. Primera acción: el Annual Bias Audit Playbook, que planifica la auditoría independiente y contiene los modelos de aviso a los candidatos.</w:t>
      </w:r>
    </w:p>
    <w:p>
      <w:pPr>
        <w:spacing w:line="312" w:lineRule="auto"/>
      </w:pPr>
      <w:r>
        <w:rPr>
          <w:rFonts w:ascii="Cairo" w:hAnsi="Cairo" w:eastAsia="Cairo"/>
          <w:b/>
          <w:color w:val="48994E"/>
          <w:sz w:val="23"/>
        </w:rPr>
        <w:t xml:space="preserve">California, el bloque de transparencia: </w:t>
      </w:r>
      <w:r>
        <w:rPr>
          <w:rFonts w:ascii="Cairo" w:hAnsi="Cairo" w:eastAsia="Cairo"/>
          <w:b w:val="0"/>
          <w:color w:val="222A22"/>
          <w:sz w:val="23"/>
        </w:rPr>
        <w:t>Estatus: aplicación progresiva; la ley de transparencia de la IA, SB 942, se aplica desde el 1 de enero de 2026, las reglas del regulador de privacidad sobre las tecnologías de decisión automatizada se finalizaron en 2025, y SB 53 encuadra a los desarrolladores de modelos de frontera (verificado T2 2026). Primera acción: el AI Content Labeling Kit para las obligaciones de procedencia de SB 942, y luego el filtro rápido de riesgos frente a las reglas sobre la decisión automatizada.</w:t>
      </w:r>
    </w:p>
    <w:p>
      <w:pPr>
        <w:spacing w:line="312" w:lineRule="auto"/>
      </w:pPr>
      <w:r>
        <w:rPr>
          <w:rFonts w:ascii="Cairo" w:hAnsi="Cairo" w:eastAsia="Cairo"/>
          <w:b/>
          <w:color w:val="48994E"/>
          <w:sz w:val="23"/>
        </w:rPr>
        <w:t xml:space="preserve">Utah, la ley de política de IA, SB 149: </w:t>
      </w:r>
      <w:r>
        <w:rPr>
          <w:rFonts w:ascii="Cairo" w:hAnsi="Cairo" w:eastAsia="Cairo"/>
          <w:b w:val="0"/>
          <w:color w:val="222A22"/>
          <w:sz w:val="23"/>
        </w:rPr>
        <w:t>Estatus: en vigor desde mayo de 2024, la primera ley estatal sobre la divulgación de la IA generativa (verificado T2 2026). Impone una divulgación clara cuando los consumidores interactúan con una IA generativa, con obligaciones reforzadas en las profesiones reguladas. Primera acción: ejecutar el formulario de casos de uso para censar cada sistema conversacional dirigido a los consumidores, con indicadores de obligaciones reforzadas para las profesiones reguladas.</w:t>
      </w:r>
    </w:p>
    <w:p>
      <w:pPr>
        <w:spacing w:line="312" w:lineRule="auto"/>
      </w:pPr>
      <w:r>
        <w:rPr>
          <w:rFonts w:ascii="Cairo" w:hAnsi="Cairo" w:eastAsia="Cairo"/>
          <w:b/>
          <w:color w:val="48994E"/>
          <w:sz w:val="23"/>
        </w:rPr>
        <w:t xml:space="preserve">El patrón a retener: </w:t>
      </w:r>
      <w:r>
        <w:rPr>
          <w:rFonts w:ascii="Cairo" w:hAnsi="Cairo" w:eastAsia="Cairo"/>
          <w:b w:val="0"/>
          <w:color w:val="222A22"/>
          <w:sz w:val="23"/>
        </w:rPr>
        <w:t>estas leyes convergen hacia las cuatro mismas exigencias que el resto de este mapa, la clasificación de los riesgos, la supervisión humana, la transparencia y la responsabilidad documentada. Gobierne una sola vez según el núcleo convergente, y cada nueva ley estatal se convierte en una localización en los márgenes, no en un nuevo programa.</w:t>
      </w:r>
    </w:p>
    <w:p>
      <w:pPr>
        <w:spacing w:before="240"/>
      </w:pPr>
      <w:r>
        <w:rPr>
          <w:rFonts w:ascii="Bakbak One" w:hAnsi="Bakbak One" w:eastAsia="Bakbak One"/>
          <w:b/>
          <w:color w:val="48994E"/>
          <w:sz w:val="27"/>
        </w:rPr>
        <w:t>América Latina y Brasil</w:t>
      </w:r>
    </w:p>
    <w:p>
      <w:pPr>
        <w:spacing w:line="312" w:lineRule="auto"/>
      </w:pPr>
      <w:r>
        <w:rPr>
          <w:rFonts w:ascii="Cairo" w:hAnsi="Cairo" w:eastAsia="Cairo"/>
          <w:b/>
          <w:color w:val="48994E"/>
          <w:sz w:val="23"/>
        </w:rPr>
        <w:t xml:space="preserve">Brasil, proyecto de ley PL 2338/2023: </w:t>
      </w:r>
      <w:r>
        <w:rPr>
          <w:rFonts w:ascii="Cairo" w:hAnsi="Cairo" w:eastAsia="Cairo"/>
          <w:b w:val="0"/>
          <w:color w:val="222A22"/>
          <w:sz w:val="23"/>
        </w:rPr>
        <w:t>Estatus: aprobado por el Senado Federal en diciembre de 2024 y actualmente ante la Cámara de Diputados; en progresión, todavía no es ley (verificado T2 2026). Deliberadamente modelado sobre la lógica de niveles de riesgo del Reglamento europeo de IA. Primera acción: prepararse hoy con la lógica europea es prepararse para la ley brasileña de mañana.</w:t>
      </w:r>
    </w:p>
    <w:p>
      <w:pPr>
        <w:spacing w:line="312" w:lineRule="auto"/>
      </w:pPr>
      <w:r>
        <w:rPr>
          <w:rFonts w:ascii="Cairo" w:hAnsi="Cairo" w:eastAsia="Cairo"/>
          <w:b/>
          <w:color w:val="48994E"/>
          <w:sz w:val="23"/>
        </w:rPr>
        <w:t xml:space="preserve">Brasil, la LGPD, ley 13.709/2018: </w:t>
      </w:r>
      <w:r>
        <w:rPr>
          <w:rFonts w:ascii="Cairo" w:hAnsi="Cairo" w:eastAsia="Cairo"/>
          <w:b w:val="0"/>
          <w:color w:val="222A22"/>
          <w:sz w:val="23"/>
        </w:rPr>
        <w:t>Estatus: en vigor (verificado T2 2026). La ley brasileña de protección de datos ya gobierna la decisión automatizada, incluido el derecho de revisión de su artículo 20. Primera acción: el registro de casos de uso y la guía de supervisión humana responden a sus exigencias centrales.</w:t>
      </w:r>
    </w:p>
    <w:p>
      <w:pPr>
        <w:spacing w:line="312" w:lineRule="auto"/>
      </w:pPr>
      <w:r>
        <w:rPr>
          <w:rFonts w:ascii="Cairo" w:hAnsi="Cairo" w:eastAsia="Cairo"/>
          <w:b/>
          <w:color w:val="48994E"/>
          <w:sz w:val="23"/>
        </w:rPr>
        <w:t xml:space="preserve">Perú, ley 31814 de 2023: </w:t>
      </w:r>
      <w:r>
        <w:rPr>
          <w:rFonts w:ascii="Cairo" w:hAnsi="Cairo" w:eastAsia="Cairo"/>
          <w:b w:val="0"/>
          <w:color w:val="222A22"/>
          <w:sz w:val="23"/>
        </w:rPr>
        <w:t>Estatus: en vigor, la primera ley nacional de IA en América Latina (verificado T2 2026). Una ley de promoción con principios de gobernanza. Primera acción: los principios de IA responsable y el cuadro de madurez cubren su enfoque.</w:t>
      </w:r>
    </w:p>
    <w:p>
      <w:pPr>
        <w:spacing w:line="312" w:lineRule="auto"/>
      </w:pPr>
      <w:r>
        <w:rPr>
          <w:rFonts w:ascii="Cairo" w:hAnsi="Cairo" w:eastAsia="Cairo"/>
          <w:b/>
          <w:color w:val="48994E"/>
          <w:sz w:val="23"/>
        </w:rPr>
        <w:t xml:space="preserve">Chile, Colombia y México: </w:t>
      </w:r>
      <w:r>
        <w:rPr>
          <w:rFonts w:ascii="Cairo" w:hAnsi="Cairo" w:eastAsia="Cairo"/>
          <w:b w:val="0"/>
          <w:color w:val="222A22"/>
          <w:sz w:val="23"/>
        </w:rPr>
        <w:t>Estatus: estrategias nacionales y proyectos de ley en curso, la mayoría siguiendo el modelo basado en el riesgo (verificado T2 2026). Primera acción: gobernar hoy contra la lógica de niveles de riesgo prepara para los tres.</w:t>
      </w:r>
    </w:p>
    <w:p>
      <w:pPr>
        <w:spacing w:before="240"/>
      </w:pPr>
      <w:r>
        <w:rPr>
          <w:rFonts w:ascii="Bakbak One" w:hAnsi="Bakbak One" w:eastAsia="Bakbak One"/>
          <w:b/>
          <w:color w:val="48994E"/>
          <w:sz w:val="27"/>
        </w:rPr>
        <w:t>África</w:t>
      </w:r>
    </w:p>
    <w:p>
      <w:pPr>
        <w:spacing w:line="312" w:lineRule="auto"/>
      </w:pPr>
      <w:r>
        <w:rPr>
          <w:rFonts w:ascii="Cairo" w:hAnsi="Cairo" w:eastAsia="Cairo"/>
          <w:b/>
          <w:color w:val="48994E"/>
          <w:sz w:val="23"/>
        </w:rPr>
        <w:t xml:space="preserve">La estrategia continental de la UA sobre la IA: </w:t>
      </w:r>
      <w:r>
        <w:rPr>
          <w:rFonts w:ascii="Cairo" w:hAnsi="Cairo" w:eastAsia="Cairo"/>
          <w:b w:val="0"/>
          <w:color w:val="222A22"/>
          <w:sz w:val="23"/>
        </w:rPr>
        <w:t>Estatus: adoptada en julio de 2024, el marco de referencia para los 55 Estados miembros (verificado T2 2026). Primera acción: es una estrategia, no una ley; el diagnóstico de preparación y el mapa de recorrido son el punto de entrada correcto.</w:t>
      </w:r>
    </w:p>
    <w:p>
      <w:pPr>
        <w:spacing w:line="312" w:lineRule="auto"/>
      </w:pPr>
      <w:r>
        <w:rPr>
          <w:rFonts w:ascii="Cairo" w:hAnsi="Cairo" w:eastAsia="Cairo"/>
          <w:b/>
          <w:color w:val="48994E"/>
          <w:sz w:val="23"/>
        </w:rPr>
        <w:t xml:space="preserve">Nigeria, Kenia y Ruanda: </w:t>
      </w:r>
      <w:r>
        <w:rPr>
          <w:rFonts w:ascii="Cairo" w:hAnsi="Cairo" w:eastAsia="Cairo"/>
          <w:b w:val="0"/>
          <w:color w:val="222A22"/>
          <w:sz w:val="23"/>
        </w:rPr>
        <w:t>Estatus: la estrategia nacional de IA de Nigeria (2024), la estrategia nacional de IA de Kenia 2025 a 2030 y la política nacional de IA de Ruanda (2023), una de las más tempranas del continente (verificado T2 2026). Todas son estrategias, no estatutos. Primera acción: gobierne antes de escalar; la transición de la estrategia a la implementación es exactamente el momento que estos instrumentos sirven.</w:t>
      </w:r>
    </w:p>
    <w:p>
      <w:pPr>
        <w:spacing w:before="240"/>
      </w:pPr>
      <w:r>
        <w:rPr>
          <w:rFonts w:ascii="Bakbak One" w:hAnsi="Bakbak One" w:eastAsia="Bakbak One"/>
          <w:b/>
          <w:color w:val="48994E"/>
          <w:sz w:val="27"/>
        </w:rPr>
        <w:t>Asia-Pacífico</w:t>
      </w:r>
    </w:p>
    <w:p>
      <w:pPr>
        <w:spacing w:line="312" w:lineRule="auto"/>
      </w:pPr>
      <w:r>
        <w:rPr>
          <w:rFonts w:ascii="Cairo" w:hAnsi="Cairo" w:eastAsia="Cairo"/>
          <w:b/>
          <w:color w:val="48994E"/>
          <w:sz w:val="23"/>
        </w:rPr>
        <w:t xml:space="preserve">Singapur: </w:t>
      </w:r>
      <w:r>
        <w:rPr>
          <w:rFonts w:ascii="Cairo" w:hAnsi="Cairo" w:eastAsia="Cairo"/>
          <w:b w:val="0"/>
          <w:color w:val="222A22"/>
          <w:sz w:val="23"/>
        </w:rPr>
        <w:t>Estatus: el Model AI Governance Framework de la PDPC, su edición de IA generativa (2024) y AI Verify, el primer conjunto de herramientas de prueba de IA respaldado por un gobierno en el mundo (verificado T2 2026). Voluntario y práctico. Primera acción: la autoevaluación de preparación refleja su espíritu operacional.</w:t>
      </w:r>
    </w:p>
    <w:p>
      <w:pPr>
        <w:spacing w:line="312" w:lineRule="auto"/>
      </w:pPr>
      <w:r>
        <w:rPr>
          <w:rFonts w:ascii="Cairo" w:hAnsi="Cairo" w:eastAsia="Cairo"/>
          <w:b/>
          <w:color w:val="48994E"/>
          <w:sz w:val="23"/>
        </w:rPr>
        <w:t xml:space="preserve">Corea del Sur, la ley básica de IA: </w:t>
      </w:r>
      <w:r>
        <w:rPr>
          <w:rFonts w:ascii="Cairo" w:hAnsi="Cairo" w:eastAsia="Cairo"/>
          <w:b w:val="0"/>
          <w:color w:val="222A22"/>
          <w:sz w:val="23"/>
        </w:rPr>
        <w:t>Estatus: adoptada en diciembre de 2024 y en vigor desde enero de 2026, la segunda ley integral de IA del mundo (verificado T2 2026). Primera acción: clasifique sus sistemas y documente la supervisión humana; la lógica europea le sirve de plantilla.</w:t>
      </w:r>
    </w:p>
    <w:p>
      <w:pPr>
        <w:spacing w:line="312" w:lineRule="auto"/>
      </w:pPr>
      <w:r>
        <w:rPr>
          <w:rFonts w:ascii="Cairo" w:hAnsi="Cairo" w:eastAsia="Cairo"/>
          <w:b/>
          <w:color w:val="48994E"/>
          <w:sz w:val="23"/>
        </w:rPr>
        <w:t xml:space="preserve">Japón: </w:t>
      </w:r>
      <w:r>
        <w:rPr>
          <w:rFonts w:ascii="Cairo" w:hAnsi="Cairo" w:eastAsia="Cairo"/>
          <w:b w:val="0"/>
          <w:color w:val="222A22"/>
          <w:sz w:val="23"/>
        </w:rPr>
        <w:t>Estatus: un enfoque de derecho blando a través de las directrices METI de IA para las empresas, junto a una ley de promoción de la IA de toque ligero de 2025 (verificado T2 2026). Primera acción: los principios de IA responsable y el registro de decisiones cubren lo esencial.</w:t>
      </w:r>
    </w:p>
    <w:p>
      <w:pPr>
        <w:spacing w:line="312" w:lineRule="auto"/>
      </w:pPr>
      <w:r>
        <w:rPr>
          <w:rFonts w:ascii="Cairo" w:hAnsi="Cairo" w:eastAsia="Cairo"/>
          <w:b/>
          <w:color w:val="48994E"/>
          <w:sz w:val="23"/>
        </w:rPr>
        <w:t xml:space="preserve">China: </w:t>
      </w:r>
      <w:r>
        <w:rPr>
          <w:rFonts w:ascii="Cairo" w:hAnsi="Cairo" w:eastAsia="Cairo"/>
          <w:b w:val="0"/>
          <w:color w:val="222A22"/>
          <w:sz w:val="23"/>
        </w:rPr>
        <w:t>Estatus: reglas vinculantes en vigor, incluidas las medidas provisionales para la IA generativa (2023) y las regulaciones de recomendación algorítmica y de síntesis profunda (verificado T2 2026). Primera acción: la transparencia y la trazabilidad de las decisiones son las exigencias centrales.</w:t>
      </w:r>
    </w:p>
    <w:p>
      <w:pPr>
        <w:spacing w:line="312" w:lineRule="auto"/>
      </w:pPr>
      <w:r>
        <w:rPr>
          <w:rFonts w:ascii="Cairo" w:hAnsi="Cairo" w:eastAsia="Cairo"/>
          <w:b/>
          <w:color w:val="48994E"/>
          <w:sz w:val="23"/>
        </w:rPr>
        <w:t xml:space="preserve">ASEAN: </w:t>
      </w:r>
      <w:r>
        <w:rPr>
          <w:rFonts w:ascii="Cairo" w:hAnsi="Cairo" w:eastAsia="Cairo"/>
          <w:b w:val="0"/>
          <w:color w:val="222A22"/>
          <w:sz w:val="23"/>
        </w:rPr>
        <w:t>Estatus: la guía sobre gobernanza y ética de la IA (2024) que cubre el bloque, incluidas Tailandia y Filipinas (verificado T2 2026). Primera acción: el cuadro de madurez sitúa a su organización en su escala.</w:t>
      </w:r>
    </w:p>
    <w:p>
      <w:pPr>
        <w:spacing w:line="312" w:lineRule="auto"/>
      </w:pPr>
      <w:r>
        <w:rPr>
          <w:rFonts w:ascii="Cairo" w:hAnsi="Cairo" w:eastAsia="Cairo"/>
          <w:b/>
          <w:color w:val="48994E"/>
          <w:sz w:val="23"/>
        </w:rPr>
        <w:t xml:space="preserve">Australia: </w:t>
      </w:r>
      <w:r>
        <w:rPr>
          <w:rFonts w:ascii="Cairo" w:hAnsi="Cairo" w:eastAsia="Cairo"/>
          <w:b w:val="0"/>
          <w:color w:val="222A22"/>
          <w:sz w:val="23"/>
        </w:rPr>
        <w:t>Estatus: la norma voluntaria de seguridad de la IA, con salvaguardas obligatorias propuestas para los contextos de alto riesgo (verificado T2 2026). Primera acción: el filtro rápido de riesgos identifica sus sistemas de alto riesgo.</w:t>
      </w:r>
    </w:p>
    <w:p>
      <w:pPr>
        <w:spacing w:before="240"/>
      </w:pPr>
      <w:r>
        <w:rPr>
          <w:rFonts w:ascii="Bakbak One" w:hAnsi="Bakbak One" w:eastAsia="Bakbak One"/>
          <w:b/>
          <w:color w:val="48994E"/>
          <w:sz w:val="27"/>
        </w:rPr>
        <w:t>Oriente Medio</w:t>
      </w:r>
    </w:p>
    <w:p>
      <w:pPr>
        <w:spacing w:line="312" w:lineRule="auto"/>
      </w:pPr>
      <w:r>
        <w:rPr>
          <w:rFonts w:ascii="Cairo" w:hAnsi="Cairo" w:eastAsia="Cairo"/>
          <w:b/>
          <w:color w:val="48994E"/>
          <w:sz w:val="23"/>
        </w:rPr>
        <w:t xml:space="preserve">Los EAU: </w:t>
      </w:r>
      <w:r>
        <w:rPr>
          <w:rFonts w:ascii="Cairo" w:hAnsi="Cairo" w:eastAsia="Cairo"/>
          <w:b w:val="0"/>
          <w:color w:val="222A22"/>
          <w:sz w:val="23"/>
        </w:rPr>
        <w:t>Estatus: la estrategia nacional de IA 2031 y el primer ministro de Estado para la IA del mundo; pilotado por la estrategia, con adquisiciones públicas exigentes (verificado T2 2026). Primera acción: el paquete para consejos directivos habla el idioma de esa ambición.</w:t>
      </w:r>
    </w:p>
    <w:p>
      <w:pPr>
        <w:spacing w:line="312" w:lineRule="auto"/>
      </w:pPr>
      <w:r>
        <w:rPr>
          <w:rFonts w:ascii="Cairo" w:hAnsi="Cairo" w:eastAsia="Cairo"/>
          <w:b/>
          <w:color w:val="48994E"/>
          <w:sz w:val="23"/>
        </w:rPr>
        <w:t xml:space="preserve">Arabia Saudita: </w:t>
      </w:r>
      <w:r>
        <w:rPr>
          <w:rFonts w:ascii="Cairo" w:hAnsi="Cairo" w:eastAsia="Cairo"/>
          <w:b w:val="0"/>
          <w:color w:val="222A22"/>
          <w:sz w:val="23"/>
        </w:rPr>
        <w:t>Estatus: los principios de ética de la IA de la SDAIA; orientación de una autoridad nacional (verificado T2 2026). Primera acción: la autoevaluación ética mapea directamente sus principios.</w:t>
      </w:r>
    </w:p>
    <w:p>
      <w:pPr>
        <w:spacing w:before="240"/>
      </w:pPr>
      <w:r>
        <w:rPr>
          <w:rFonts w:ascii="Bakbak One" w:hAnsi="Bakbak One" w:eastAsia="Bakbak One"/>
          <w:b/>
          <w:color w:val="48994E"/>
          <w:sz w:val="27"/>
        </w:rPr>
        <w:t>El tejido conectivo mundial</w:t>
      </w:r>
    </w:p>
    <w:p>
      <w:pPr>
        <w:spacing w:line="312" w:lineRule="auto"/>
      </w:pPr>
      <w:r>
        <w:rPr>
          <w:rFonts w:ascii="Cairo" w:hAnsi="Cairo" w:eastAsia="Cairo"/>
          <w:b/>
          <w:color w:val="48994E"/>
          <w:sz w:val="23"/>
        </w:rPr>
        <w:t xml:space="preserve">Los principios de la OCDE sobre la IA: </w:t>
      </w:r>
      <w:r>
        <w:rPr>
          <w:rFonts w:ascii="Cairo" w:hAnsi="Cairo" w:eastAsia="Cairo"/>
          <w:b w:val="0"/>
          <w:color w:val="222A22"/>
          <w:sz w:val="23"/>
        </w:rPr>
        <w:t>actualizados en 2024, el punto de referencia que citan la mayoría de las estrategias nacionales (verificado T2 2026).</w:t>
      </w:r>
    </w:p>
    <w:p>
      <w:pPr>
        <w:spacing w:line="312" w:lineRule="auto"/>
      </w:pPr>
      <w:r>
        <w:rPr>
          <w:rFonts w:ascii="Cairo" w:hAnsi="Cairo" w:eastAsia="Cairo"/>
          <w:b/>
          <w:color w:val="48994E"/>
          <w:sz w:val="23"/>
        </w:rPr>
        <w:t xml:space="preserve">La recomendación de la UNESCO sobre la ética de la IA: </w:t>
      </w:r>
      <w:r>
        <w:rPr>
          <w:rFonts w:ascii="Cairo" w:hAnsi="Cairo" w:eastAsia="Cairo"/>
          <w:b w:val="0"/>
          <w:color w:val="222A22"/>
          <w:sz w:val="23"/>
        </w:rPr>
        <w:t>adoptada en 2021 por más de 190 países, y el instrumento que más citan los gobiernos africanos y latinoamericanos (verificado T2 2026).</w:t>
      </w:r>
    </w:p>
    <w:p>
      <w:pPr>
        <w:spacing w:line="312" w:lineRule="auto"/>
      </w:pPr>
      <w:r>
        <w:rPr>
          <w:rFonts w:ascii="Cairo" w:hAnsi="Cairo" w:eastAsia="Cairo"/>
          <w:b/>
          <w:color w:val="48994E"/>
          <w:sz w:val="23"/>
        </w:rPr>
        <w:t xml:space="preserve">El Convenio marco del Consejo de Europa sobre la IA: </w:t>
      </w:r>
      <w:r>
        <w:rPr>
          <w:rFonts w:ascii="Cairo" w:hAnsi="Cairo" w:eastAsia="Cairo"/>
          <w:b w:val="0"/>
          <w:color w:val="222A22"/>
          <w:sz w:val="23"/>
        </w:rPr>
        <w:t>abierto en 2024, el primer tratado internacional vinculante sobre la IA (verificado T2 2026).</w:t>
      </w:r>
    </w:p>
    <w:p>
      <w:pPr>
        <w:spacing w:line="312" w:lineRule="auto"/>
      </w:pPr>
      <w:r>
        <w:rPr>
          <w:rFonts w:ascii="Cairo" w:hAnsi="Cairo" w:eastAsia="Cairo"/>
          <w:b/>
          <w:color w:val="48994E"/>
          <w:sz w:val="23"/>
        </w:rPr>
        <w:t xml:space="preserve">ISO/IEC 42001 y el NIST AI RMF: </w:t>
      </w:r>
      <w:r>
        <w:rPr>
          <w:rFonts w:ascii="Cairo" w:hAnsi="Cairo" w:eastAsia="Cairo"/>
          <w:b w:val="0"/>
          <w:color w:val="222A22"/>
          <w:sz w:val="23"/>
        </w:rPr>
        <w:t>la norma de gestión certificable (diciembre de 2023) y el método de cuatro funciones (Gobernar, Mapear, Medir, Gestionar). Ninguno es una ley; juntos son cómo se prueba la gobernanza ante cualquier regulador.</w:t>
      </w:r>
    </w:p>
    <w:p>
      <w:pPr>
        <w:spacing w:line="312" w:lineRule="auto"/>
      </w:pPr>
      <w:r>
        <w:rPr>
          <w:rFonts w:ascii="Cairo" w:hAnsi="Cairo" w:eastAsia="Cairo"/>
          <w:b w:val="0"/>
          <w:color w:val="222A22"/>
          <w:sz w:val="23"/>
        </w:rPr>
        <w:t>Estos cinco instrumentos forman la columna vertebral de la correspondencia. Gobierne una vez contra ellos, y la mayor parte del mapa queda respondida.</w:t>
      </w:r>
    </w:p>
    <w:p>
      <w:pPr>
        <w:spacing w:before="240"/>
      </w:pPr>
      <w:r>
        <w:rPr>
          <w:rFonts w:ascii="Bakbak One" w:hAnsi="Bakbak One" w:eastAsia="Bakbak One"/>
          <w:b/>
          <w:color w:val="48994E"/>
          <w:sz w:val="27"/>
        </w:rPr>
        <w:t>El patrón que revela este mapa</w:t>
      </w:r>
    </w:p>
    <w:p>
      <w:pPr>
        <w:spacing w:line="312" w:lineRule="auto"/>
      </w:pPr>
      <w:r>
        <w:rPr>
          <w:rFonts w:ascii="Cairo" w:hAnsi="Cairo" w:eastAsia="Cairo"/>
          <w:b w:val="0"/>
          <w:color w:val="222A22"/>
          <w:sz w:val="23"/>
        </w:rPr>
        <w:t>Leídos en conjunto, los regímenes convergen hacia cuatro exigencias: la clasificación basada en el riesgo, la supervisión humana, la transparencia sobre la máquina y la prueba mediante registros. Satisfaga las cuatro una sola vez, y podrá responder a casi cualquier regulador de este mapa.</w:t>
      </w:r>
    </w:p>
    <w:p>
      <w:pPr>
        <w:spacing w:before="240"/>
      </w:pPr>
      <w:r>
        <w:rPr>
          <w:rFonts w:ascii="Bakbak One" w:hAnsi="Bakbak One" w:eastAsia="Bakbak One"/>
          <w:b/>
          <w:color w:val="48994E"/>
          <w:sz w:val="27"/>
        </w:rPr>
        <w:t>Dónde termina la edición gratuita</w:t>
      </w:r>
    </w:p>
    <w:p>
      <w:pPr>
        <w:spacing w:line="312" w:lineRule="auto"/>
      </w:pPr>
      <w:r>
        <w:rPr>
          <w:rFonts w:ascii="Cairo" w:hAnsi="Cairo" w:eastAsia="Cairo"/>
          <w:b w:val="0"/>
          <w:color w:val="222A22"/>
          <w:sz w:val="23"/>
        </w:rPr>
        <w:t>Esta edición gratuita le da el QUÉ y el POR QUÉ: cada gran régimen, su estatus verificado y la primera acción. El Atlas mundial completo: de la regulación a la acción mapea cada régimen, obligación por obligación, hacia el instrumento exacto y la evidencia AI GOVERNANCE CHAIN™ que usted archiva, y se mantiene actualizado por el servicio trimestral de actualización regulatoria. También alimenta a CHAINGUIDE™, el motor del desacuerdo. Para adquirirlo, escriba a contact@aigovernancechain.com.</w:t>
      </w:r>
    </w:p>
    <w:sectPr w:rsidR="00FC693F" w:rsidRPr="0006063C" w:rsidSect="00034616">
      <w:footerReference w:type="default" r:id="rId9"/>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iro" w:hAnsi="Cairo" w:eastAsia="Cairo"/>
        <w:b w:val="0"/>
        <w:color w:val="48994E"/>
        <w:sz w:val="18"/>
      </w:rPr>
      <w:fldChar w:fldCharType="begin"/>
      <w:instrText xml:space="preserve">PAGE</w:instrText>
      <w:fldChar w:fldCharType="end"/>
    </w:r>
    <w:r>
      <w:rPr>
        <w:rFonts w:ascii="Cairo" w:hAnsi="Cairo" w:eastAsia="Cairo"/>
        <w:b w:val="0"/>
        <w:color w:val="48994E"/>
        <w:sz w:val="18"/>
      </w:rPr>
      <w:t>/</w:t>
    </w:r>
    <w:r>
      <w:rPr>
        <w:rFonts w:ascii="Cairo" w:hAnsi="Cairo" w:eastAsia="Cairo"/>
        <w:b w:val="0"/>
        <w:color w:val="48994E"/>
        <w:sz w:val="18"/>
      </w:rP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