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Bakbak One" w:hAnsi="Bakbak One" w:eastAsia="Bakbak One"/>
          <w:b/>
          <w:color w:val="48994E"/>
          <w:sz w:val="42"/>
        </w:rPr>
        <w:t>La autoevaluación de la ética de la IA</w:t>
      </w:r>
    </w:p>
    <w:p>
      <w:pPr>
        <w:spacing w:after="60"/>
      </w:pPr>
      <w:r>
        <w:rPr>
          <w:rFonts w:ascii="Bakbak One" w:hAnsi="Bakbak One" w:eastAsia="Bakbak One"/>
          <w:b/>
          <w:color w:val="48994E"/>
          <w:sz w:val="27"/>
        </w:rPr>
        <w:t>Abreviaturas y acrónimos</w:t>
      </w:r>
    </w:p>
    <w:p>
      <w:pPr>
        <w:spacing w:after="60"/>
      </w:pPr>
      <w:r>
        <w:rPr>
          <w:rFonts w:ascii="Cairo" w:hAnsi="Cairo" w:eastAsia="Cairo"/>
          <w:b w:val="0"/>
          <w:color w:val="1E3D21"/>
          <w:sz w:val="23"/>
        </w:rPr>
        <w:t>Ningún conocimiento previo se da por supuesto. Los acrónimos de este documento:</w:t>
      </w:r>
    </w:p>
    <w:p>
      <w:pPr>
        <w:spacing w:after="40"/>
      </w:pPr>
      <w:r>
        <w:rPr>
          <w:rFonts w:ascii="Cairo" w:hAnsi="Cairo" w:eastAsia="Cairo"/>
          <w:b/>
          <w:color w:val="48994E"/>
          <w:sz w:val="23"/>
        </w:rPr>
        <w:t>IA</w:t>
      </w:r>
      <w:r>
        <w:rPr>
          <w:rFonts w:ascii="Cairo" w:hAnsi="Cairo" w:eastAsia="Cairo"/>
          <w:b w:val="0"/>
          <w:color w:val="1E3D21"/>
          <w:sz w:val="23"/>
        </w:rPr>
        <w:t xml:space="preserve"> : inteligencia artificial</w:t>
      </w:r>
    </w:p>
    <w:p>
      <w:pPr>
        <w:spacing w:after="140" w:line="336" w:lineRule="auto"/>
        <w:jc w:val="left"/>
      </w:pPr>
      <w:r>
        <w:rPr>
          <w:rFonts w:ascii="Cairo" w:hAnsi="Cairo" w:eastAsia="Cairo"/>
          <w:b w:val="0"/>
          <w:color w:val="1E3D21"/>
          <w:sz w:val="23"/>
        </w:rPr>
        <w:t>Veinte preguntas, cinco secciones, sesenta puntos: una lectura honesta de dónde está su ética de la inteligencia artificial (IA) hoy. Puntúe cada pregunta: 0 si no, 1 si en parte, 3 si sí con evidencia.</w:t>
      </w:r>
    </w:p>
    <w:p>
      <w:pPr>
        <w:spacing w:before="240" w:after="80"/>
      </w:pPr>
      <w:r>
        <w:rPr>
          <w:rFonts w:ascii="Bakbak One" w:hAnsi="Bakbak One" w:eastAsia="Bakbak One"/>
          <w:b/>
          <w:color w:val="48994E"/>
          <w:sz w:val="27"/>
        </w:rPr>
        <w:t>Sección 1: equidad (preguntas 1 a 4)</w:t>
      </w:r>
    </w:p>
    <w:p>
      <w:pPr>
        <w:spacing w:after="140" w:line="336" w:lineRule="auto"/>
        <w:jc w:val="left"/>
      </w:pPr>
      <w:r>
        <w:rPr>
          <w:rFonts w:ascii="Cairo" w:hAnsi="Cairo" w:eastAsia="Cairo"/>
          <w:b w:val="0"/>
          <w:color w:val="1E3D21"/>
          <w:sz w:val="23"/>
        </w:rPr>
        <w:t>1. ¿Ha probado si su sistema trata distinto a grupos distintos? 2. ¿Existe un umbral definido de disparidad aceptable? 3. ¿Alguien revisa la equidad después del despliegue, no solo antes? 4. ¿Las personas afectadas pueden señalar un trato desigual y ser escuchadas?</w:t>
      </w:r>
    </w:p>
    <w:p>
      <w:pPr>
        <w:spacing w:before="240" w:after="80"/>
      </w:pPr>
      <w:r>
        <w:rPr>
          <w:rFonts w:ascii="Bakbak One" w:hAnsi="Bakbak One" w:eastAsia="Bakbak One"/>
          <w:b/>
          <w:color w:val="48994E"/>
          <w:sz w:val="27"/>
        </w:rPr>
        <w:t>Sección 2: transparencia (preguntas 5 a 8)</w:t>
      </w:r>
    </w:p>
    <w:p>
      <w:pPr>
        <w:spacing w:after="140" w:line="336" w:lineRule="auto"/>
        <w:jc w:val="left"/>
      </w:pPr>
      <w:r>
        <w:rPr>
          <w:rFonts w:ascii="Cairo" w:hAnsi="Cairo" w:eastAsia="Cairo"/>
          <w:b w:val="0"/>
          <w:color w:val="1E3D21"/>
          <w:sz w:val="23"/>
        </w:rPr>
        <w:t>5. ¿Las personas saben cuándo interactúan con una IA? 6. ¿El contenido generado se identifica como tal? 7. ¿Puede explicar, en lenguaje simple, cómo decide su sistema? 8. ¿La explicación está disponible para quien la pide?</w:t>
      </w:r>
    </w:p>
    <w:p>
      <w:pPr>
        <w:spacing w:before="240" w:after="80"/>
      </w:pPr>
      <w:r>
        <w:rPr>
          <w:rFonts w:ascii="Bakbak One" w:hAnsi="Bakbak One" w:eastAsia="Bakbak One"/>
          <w:b/>
          <w:color w:val="48994E"/>
          <w:sz w:val="27"/>
        </w:rPr>
        <w:t>Sección 3: dignidad humana (preguntas 9 a 12)</w:t>
      </w:r>
    </w:p>
    <w:p>
      <w:pPr>
        <w:spacing w:after="140" w:line="336" w:lineRule="auto"/>
        <w:jc w:val="left"/>
      </w:pPr>
      <w:r>
        <w:rPr>
          <w:rFonts w:ascii="Cairo" w:hAnsi="Cairo" w:eastAsia="Cairo"/>
          <w:b w:val="0"/>
          <w:color w:val="1E3D21"/>
          <w:sz w:val="23"/>
        </w:rPr>
        <w:t>9. ¿Las decisiones de alto impacto pasan por una persona con autoridad real? 10. ¿Existe una vía de apelación humana? 11. ¿El sistema puede detenerse sin comité? 12. ¿Se evaluó el impacto sobre los derechos de las personas antes del despliegue?</w:t>
      </w:r>
    </w:p>
    <w:p>
      <w:pPr>
        <w:spacing w:before="240" w:after="80"/>
      </w:pPr>
      <w:r>
        <w:rPr>
          <w:rFonts w:ascii="Bakbak One" w:hAnsi="Bakbak One" w:eastAsia="Bakbak One"/>
          <w:b/>
          <w:color w:val="48994E"/>
          <w:sz w:val="27"/>
        </w:rPr>
        <w:t>Sección 4: rendición de cuentas (preguntas 13 a 16)</w:t>
      </w:r>
    </w:p>
    <w:p>
      <w:pPr>
        <w:spacing w:after="140" w:line="336" w:lineRule="auto"/>
        <w:jc w:val="left"/>
      </w:pPr>
      <w:r>
        <w:rPr>
          <w:rFonts w:ascii="Cairo" w:hAnsi="Cairo" w:eastAsia="Cairo"/>
          <w:b w:val="0"/>
          <w:color w:val="1E3D21"/>
          <w:sz w:val="23"/>
        </w:rPr>
        <w:t>13. ¿Cada sistema tiene un responsable con nombre? 14. ¿Las decisiones del sistema dejan rastro auditable? 15. ¿Los incidentes éticos se registran como incidentes, no como anécdotas? 16. ¿El directorio conoce los riesgos éticos principales?</w:t>
      </w:r>
    </w:p>
    <w:p>
      <w:pPr>
        <w:spacing w:before="240" w:after="80"/>
      </w:pPr>
      <w:r>
        <w:rPr>
          <w:rFonts w:ascii="Bakbak One" w:hAnsi="Bakbak One" w:eastAsia="Bakbak One"/>
          <w:b/>
          <w:color w:val="48994E"/>
          <w:sz w:val="27"/>
        </w:rPr>
        <w:t>Sección 5: responsabilidad social (preguntas 17 a 20)</w:t>
      </w:r>
    </w:p>
    <w:p>
      <w:pPr>
        <w:spacing w:after="140" w:line="336" w:lineRule="auto"/>
        <w:jc w:val="left"/>
      </w:pPr>
      <w:r>
        <w:rPr>
          <w:rFonts w:ascii="Cairo" w:hAnsi="Cairo" w:eastAsia="Cairo"/>
          <w:b w:val="0"/>
          <w:color w:val="1E3D21"/>
          <w:sz w:val="23"/>
        </w:rPr>
        <w:t>17. ¿Evaluó el efecto de su IA sobre los empleos que toca? 18. ¿Ha probado la sicofancia: si el sistema le da la razón para complacerlo? 19. ¿Sus proveedores respondieron por la ética de sus sistemas? 20. ¿Alguien re-evalúa todo esto con cadencia fija?</w:t>
      </w:r>
    </w:p>
    <w:p>
      <w:pPr>
        <w:spacing w:before="240" w:after="80"/>
      </w:pPr>
      <w:r>
        <w:rPr>
          <w:rFonts w:ascii="Bakbak One" w:hAnsi="Bakbak One" w:eastAsia="Bakbak One"/>
          <w:b/>
          <w:color w:val="48994E"/>
          <w:sz w:val="27"/>
        </w:rPr>
        <w:t>Cómo leer su puntaje</w:t>
      </w:r>
    </w:p>
    <w:p>
      <w:pPr>
        <w:spacing w:after="140" w:line="336" w:lineRule="auto"/>
        <w:jc w:val="left"/>
      </w:pPr>
      <w:r>
        <w:rPr>
          <w:rFonts w:ascii="Cairo" w:hAnsi="Cairo" w:eastAsia="Cairo"/>
          <w:b w:val="0"/>
          <w:color w:val="1E3D21"/>
          <w:sz w:val="23"/>
        </w:rPr>
        <w:t>De 45 a 60: ética operativa; manténgala con la revisión trimestral. De 25 a 44: ética declarada; el trabajo es convertir intenciones en evidencia, empiece por las secciones 3 y 4. Menos de 25: exposición ética real; las preguntas 9, 11 y 13 son las que primero duelen en público.</w:t>
      </w:r>
    </w:p>
    <w:p>
      <w:pPr>
        <w:spacing w:before="240" w:after="80"/>
      </w:pPr>
      <w:r>
        <w:rPr>
          <w:rFonts w:ascii="Bakbak One" w:hAnsi="Bakbak One" w:eastAsia="Bakbak One"/>
          <w:b/>
          <w:color w:val="48994E"/>
          <w:sz w:val="27"/>
        </w:rPr>
        <w:t>El puente hacia la profundidad</w:t>
      </w:r>
    </w:p>
    <w:p>
      <w:pPr>
        <w:spacing w:after="140" w:line="336" w:lineRule="auto"/>
        <w:jc w:val="left"/>
      </w:pPr>
      <w:r>
        <w:rPr>
          <w:rFonts w:ascii="Cairo" w:hAnsi="Cairo" w:eastAsia="Cairo"/>
          <w:b w:val="0"/>
          <w:color w:val="1E3D21"/>
          <w:sz w:val="23"/>
        </w:rPr>
        <w:t>Esta autoevaluación es gratuita. El AI Ethics Operating Kit de la capa de pago convierte cada brecha en un instrumento: el estatuto del comité, la plantilla de decisión ética, el registro de riesgos y el reporte al directorio.</w:t>
      </w:r>
    </w:p>
    <w:p>
      <w:pPr>
        <w:pBdr>
          <w:bottom w:val="single" w:sz="6" w:space="1" w:color="BDE051"/>
        </w:pBdr>
        <w:spacing w:before="280" w:after="120"/>
      </w:pPr>
    </w:p>
    <w:p>
      <w:pPr>
        <w:spacing w:after="20"/>
      </w:pPr>
      <w:r>
        <w:rPr>
          <w:rFonts w:ascii="Bakbak One" w:hAnsi="Bakbak One" w:eastAsia="Bakbak One"/>
          <w:b/>
          <w:color w:val="48994E"/>
          <w:sz w:val="19"/>
        </w:rPr>
        <w:t>AI GOVERNANCE CHAIN™</w:t>
      </w:r>
    </w:p>
    <w:p>
      <w:pPr>
        <w:spacing w:after="20"/>
      </w:pPr>
      <w:r>
        <w:rPr>
          <w:rFonts w:ascii="Cairo" w:hAnsi="Cairo" w:eastAsia="Cairo"/>
          <w:b w:val="0"/>
          <w:color w:val="48994E"/>
          <w:sz w:val="19"/>
        </w:rPr>
        <w:t>Marco de gobernanza de la IA</w:t>
      </w:r>
    </w:p>
    <w:p>
      <w:pPr>
        <w:spacing w:after="20"/>
      </w:pPr>
      <w:r>
        <w:rPr>
          <w:rFonts w:ascii="Cairo" w:hAnsi="Cairo" w:eastAsia="Cairo"/>
          <w:b w:val="0"/>
          <w:color w:val="48994E"/>
          <w:sz w:val="19"/>
        </w:rPr>
        <w:t>© 2026 Mathieu K. Gouanou. Todos los derechos reservados.</w:t>
      </w:r>
    </w:p>
    <w:p>
      <w:pPr>
        <w:spacing w:after="20"/>
      </w:pPr>
      <w:r>
        <w:rPr>
          <w:rFonts w:ascii="Cairo" w:hAnsi="Cairo" w:eastAsia="Cairo"/>
          <w:b w:val="0"/>
          <w:color w:val="48994E"/>
          <w:sz w:val="19"/>
        </w:rPr>
        <w:t>Miembro del Consejo Asesor de Harvard Business Review.</w:t>
      </w:r>
    </w:p>
    <w:p>
      <w:pPr>
        <w:spacing w:after="20"/>
      </w:pPr>
      <w:r>
        <w:rPr>
          <w:rFonts w:ascii="Cairo" w:hAnsi="Cairo" w:eastAsia="Cairo"/>
          <w:b w:val="0"/>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