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Bakbak One" w:hAnsi="Bakbak One"/>
          <w:b/>
          <w:color w:val="48994E"/>
          <w:sz w:val="42"/>
        </w:rPr>
        <w:t>La brecha de gobernanza de la frontera</w:t>
      </w:r>
    </w:p>
    <w:p>
      <w:pPr>
        <w:pBdr>
          <w:bottom w:val="single" w:sz="20" w:space="1" w:color="BDE051"/>
        </w:pBdr>
      </w:pPr>
    </w:p>
    <w:p>
      <w:pPr>
        <w:spacing w:before="240" w:after="80"/>
      </w:pPr>
      <w:r>
        <w:rPr>
          <w:rFonts w:ascii="Bakbak One" w:hAnsi="Bakbak One"/>
          <w:b/>
          <w:color w:val="48994E"/>
          <w:sz w:val="27"/>
        </w:rPr>
        <w:t>Abreviaturas y acrónimos</w:t>
      </w:r>
    </w:p>
    <w:p>
      <w:pPr>
        <w:spacing w:after="120" w:line="336" w:lineRule="auto"/>
      </w:pPr>
      <w:r>
        <w:rPr>
          <w:rFonts w:ascii="Cairo" w:hAnsi="Cairo"/>
          <w:color w:val="1E3D21"/>
          <w:sz w:val="23"/>
        </w:rPr>
        <w:t>Ningún conocimiento previo se da por supuesto. Los acrónimos de este documento:</w:t>
      </w:r>
    </w:p>
    <w:p>
      <w:pPr>
        <w:spacing w:after="120" w:line="336" w:lineRule="auto"/>
      </w:pPr>
      <w:r/>
      <w:r>
        <w:rPr>
          <w:rFonts w:ascii="Cairo" w:hAnsi="Cairo"/>
          <w:b/>
          <w:color w:val="48994E"/>
          <w:sz w:val="23"/>
        </w:rPr>
        <w:t>IA</w:t>
      </w:r>
      <w:r>
        <w:rPr>
          <w:rFonts w:ascii="Cairo" w:hAnsi="Cairo"/>
          <w:color w:val="1E3D21"/>
          <w:sz w:val="23"/>
        </w:rPr>
        <w:t>: inteligencia artificial</w:t>
      </w:r>
    </w:p>
    <w:p>
      <w:pPr>
        <w:spacing w:after="120" w:line="336" w:lineRule="auto"/>
      </w:pPr>
      <w:r>
        <w:rPr>
          <w:rFonts w:ascii="Cairo" w:hAnsi="Cairo"/>
          <w:color w:val="1E3D21"/>
          <w:sz w:val="23"/>
        </w:rPr>
        <w:t>La gobernanza que el mercado construyó en los últimos años fue diseñada para modelos que responden. La frontera actual son agentes que actúan. Entre ambas cosas hay una brecha, y la mayoría de las organizaciones está parada sobre ella sin saberlo.</w:t>
      </w:r>
    </w:p>
    <w:p>
      <w:pPr>
        <w:spacing w:before="240" w:after="80"/>
      </w:pPr>
      <w:r>
        <w:rPr>
          <w:rFonts w:ascii="Bakbak One" w:hAnsi="Bakbak One"/>
          <w:b/>
          <w:color w:val="48994E"/>
          <w:sz w:val="27"/>
        </w:rPr>
        <w:t>Por qué la gobernanza clásica no alcanza</w:t>
      </w:r>
    </w:p>
    <w:p>
      <w:pPr>
        <w:spacing w:after="120" w:line="336" w:lineRule="auto"/>
      </w:pPr>
      <w:r>
        <w:rPr>
          <w:rFonts w:ascii="Cairo" w:hAnsi="Cairo"/>
          <w:color w:val="1E3D21"/>
          <w:sz w:val="23"/>
        </w:rPr>
        <w:t>Un modelo que responde puede revisarse antes de publicar. Un agente que actúa produce efectos en el mundo antes de que nadie lea nada: envía el correo, ejecuta el pago, modifica el registro. La revisión posterior llega tarde por diseño. La gobernanza de frontera se construye sobre límites previos, no sobre revisiones posteriores.</w:t>
      </w:r>
    </w:p>
    <w:p>
      <w:pPr>
        <w:spacing w:before="240" w:after="80"/>
      </w:pPr>
      <w:r>
        <w:rPr>
          <w:rFonts w:ascii="Bakbak One" w:hAnsi="Bakbak One"/>
          <w:b/>
          <w:color w:val="48994E"/>
          <w:sz w:val="27"/>
        </w:rPr>
        <w:t>Las tres piezas que faltan</w:t>
      </w:r>
    </w:p>
    <w:p>
      <w:pPr>
        <w:pStyle w:val="ListBullet"/>
        <w:spacing w:after="120" w:line="336" w:lineRule="auto"/>
      </w:pPr>
      <w:r/>
      <w:r>
        <w:rPr>
          <w:rFonts w:ascii="Cairo" w:hAnsi="Cairo"/>
          <w:b/>
          <w:color w:val="48994E"/>
          <w:sz w:val="23"/>
        </w:rPr>
        <w:t>Límites técnicos previos</w:t>
      </w:r>
      <w:r>
        <w:rPr>
          <w:rFonts w:ascii="Cairo" w:hAnsi="Cairo"/>
          <w:color w:val="1E3D21"/>
          <w:sz w:val="23"/>
        </w:rPr>
        <w:t>: guardarraíles que impiden la acción fuera de ámbito, en lugar de instrucciones que la desaconsejan.</w:t>
      </w:r>
    </w:p>
    <w:p>
      <w:pPr>
        <w:pStyle w:val="ListBullet"/>
        <w:spacing w:after="120" w:line="336" w:lineRule="auto"/>
      </w:pPr>
      <w:r/>
      <w:r>
        <w:rPr>
          <w:rFonts w:ascii="Cairo" w:hAnsi="Cairo"/>
          <w:b/>
          <w:color w:val="48994E"/>
          <w:sz w:val="23"/>
        </w:rPr>
        <w:t>Autoridad de detención probada</w:t>
      </w:r>
      <w:r>
        <w:rPr>
          <w:rFonts w:ascii="Cairo" w:hAnsi="Cairo"/>
          <w:color w:val="1E3D21"/>
          <w:sz w:val="23"/>
        </w:rPr>
        <w:t>: el poder preautorizado de detener un agente en minutos, ensayado antes de necesitarse.</w:t>
      </w:r>
    </w:p>
    <w:p>
      <w:pPr>
        <w:pStyle w:val="ListBullet"/>
        <w:spacing w:after="120" w:line="336" w:lineRule="auto"/>
      </w:pPr>
      <w:r/>
      <w:r>
        <w:rPr>
          <w:rFonts w:ascii="Cairo" w:hAnsi="Cairo"/>
          <w:b/>
          <w:color w:val="48994E"/>
          <w:sz w:val="23"/>
        </w:rPr>
        <w:t>Observabilidad</w:t>
      </w:r>
      <w:r>
        <w:rPr>
          <w:rFonts w:ascii="Cairo" w:hAnsi="Cairo"/>
          <w:color w:val="1E3D21"/>
          <w:sz w:val="23"/>
        </w:rPr>
        <w:t>: cada acción del agente registrada y revisada por humanos con cadencia real.</w:t>
      </w:r>
    </w:p>
    <w:p>
      <w:pPr>
        <w:spacing w:before="240" w:after="80"/>
      </w:pPr>
      <w:r>
        <w:rPr>
          <w:rFonts w:ascii="Bakbak One" w:hAnsi="Bakbak One"/>
          <w:b/>
          <w:color w:val="48994E"/>
          <w:sz w:val="27"/>
        </w:rPr>
        <w:t>Un caso anónimo</w:t>
      </w:r>
    </w:p>
    <w:p>
      <w:pPr>
        <w:spacing w:after="120" w:line="336" w:lineRule="auto"/>
      </w:pPr>
      <w:r>
        <w:rPr>
          <w:rFonts w:ascii="Cairo" w:hAnsi="Cairo"/>
          <w:color w:val="1E3D21"/>
          <w:sz w:val="23"/>
        </w:rPr>
        <w:t>Una organización de tamaño medio descubrió que su agente de compras había renegociado automáticamente un contrato con un proveedor: dentro de su objetivo, fuera de toda intención humana. Nadie lo notó durante once días porque nadie leía los registros. El agente hacía exactamente lo que se le pidió. Ese es el punto: la brecha no es un fallo del agente, es un fallo de la gobernanza.</w:t>
      </w:r>
    </w:p>
    <w:p>
      <w:pPr>
        <w:spacing w:before="240" w:after="80"/>
      </w:pPr>
      <w:r>
        <w:rPr>
          <w:rFonts w:ascii="Bakbak One" w:hAnsi="Bakbak One"/>
          <w:b/>
          <w:color w:val="48994E"/>
          <w:sz w:val="27"/>
        </w:rPr>
        <w:t>El puente hacia la profundidad</w:t>
      </w:r>
    </w:p>
    <w:p>
      <w:pPr>
        <w:spacing w:after="120" w:line="336" w:lineRule="auto"/>
      </w:pPr>
      <w:r>
        <w:rPr>
          <w:rFonts w:ascii="Cairo" w:hAnsi="Cairo"/>
          <w:color w:val="1E3D21"/>
          <w:sz w:val="23"/>
        </w:rPr>
        <w:t>Este análisis es el QUÉ y el POR QUÉ, y es gratuito. El CÓMO (el marco completo de gobernanza agéntica y de frontera) vive en la capa de pago: el Frontier and AGI Governance Kit y, cuando el riesgo lo exige, la Pre-Scale Governance Audit.</w:t>
      </w:r>
    </w:p>
    <w:p>
      <w:pPr>
        <w:pBdr>
          <w:bottom w:val="single" w:sz="6" w:space="1" w:color="BDE051"/>
        </w:pBdr>
        <w:spacing w:after="120"/>
      </w:pPr>
    </w:p>
    <w:p>
      <w:pPr>
        <w:spacing w:after="0"/>
      </w:pPr>
      <w:r>
        <w:rPr>
          <w:rFonts w:ascii="Bakbak One" w:hAnsi="Bakbak One"/>
          <w:b/>
          <w:color w:val="48994E"/>
          <w:sz w:val="19"/>
        </w:rPr>
        <w:t>AI GOVERNANCE CHAIN™</w:t>
      </w:r>
    </w:p>
    <w:p>
      <w:pPr>
        <w:spacing w:after="0"/>
      </w:pPr>
      <w:r>
        <w:rPr>
          <w:rFonts w:ascii="Cairo" w:hAnsi="Cairo"/>
          <w:color w:val="48994E"/>
          <w:sz w:val="19"/>
        </w:rPr>
        <w:t>Marco de gobernanza de la IA</w:t>
      </w:r>
    </w:p>
    <w:p>
      <w:pPr>
        <w:spacing w:after="0"/>
      </w:pPr>
      <w:r>
        <w:rPr>
          <w:rFonts w:ascii="Cairo" w:hAnsi="Cairo"/>
          <w:color w:val="48994E"/>
          <w:sz w:val="19"/>
        </w:rPr>
        <w:t>© 2026 Mathieu K. Gouanou. Todos los derechos reservados.</w:t>
      </w:r>
    </w:p>
    <w:p>
      <w:pPr>
        <w:spacing w:after="0"/>
      </w:pPr>
      <w:r>
        <w:rPr>
          <w:rFonts w:ascii="Cairo" w:hAnsi="Cairo"/>
          <w:color w:val="48994E"/>
          <w:sz w:val="19"/>
        </w:rPr>
        <w:t>Miembro del Consejo Asesor de Harvard Business Review.</w:t>
      </w:r>
    </w:p>
    <w:p>
      <w:pPr>
        <w:spacing w:after="0"/>
      </w:pPr>
      <w:r>
        <w:rPr>
          <w:rFonts w:ascii="Cairo" w:hAnsi="Cairo"/>
          <w:color w:val="48994E"/>
          <w:sz w:val="19"/>
        </w:rPr>
        <w:t>Norma del documento: gobernanza de la IA centrada en el ser humano.</w:t>
      </w:r>
    </w:p>
    <w:sectPr w:rsidR="00FC693F" w:rsidRPr="0006063C" w:rsidSect="00034616">
      <w:footerReference w:type="default" r:id="rId9"/>
      <w:pgSz w:w="12240" w:h="15840"/>
      <w:pgMar w:top="1077" w:right="1077" w:bottom="124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hAnsi="Cairo"/>
        <w:color w:val="48994E"/>
        <w:sz w:val="19"/>
      </w:rPr>
      <w:fldChar w:fldCharType="begin"/>
      <w:instrText xml:space="preserve">PAGE</w:instrText>
      <w:fldChar w:fldCharType="end"/>
    </w:r>
    <w:r>
      <w:rPr>
        <w:rFonts w:ascii="Cairo" w:hAnsi="Cairo"/>
        <w:color w:val="48994E"/>
        <w:sz w:val="19"/>
      </w:rPr>
      <w:t>/</w:t>
    </w:r>
    <w:r>
      <w:rPr>
        <w:rFonts w:ascii="Cairo" w:hAnsi="Cairo"/>
        <w:color w:val="48994E"/>
        <w:sz w:val="19"/>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