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El constructor de menciones de transparencia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UE</w:t>
      </w:r>
      <w:r>
        <w:rPr>
          <w:rFonts w:ascii="Cairo" w:hAnsi="Cairo" w:eastAsia="Cairo"/>
          <w:b w:val="0"/>
          <w:color w:val="1E3D21"/>
          <w:sz w:val="23"/>
        </w:rPr>
        <w:t xml:space="preserve"> : Unión Europea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¿Qué debe decirle a las personas cuando interactúan con inteligencia artificial (IA)? El artículo 50 del Reglamento de IA de la UE convierte esta cortesía en obligación. Esta página le da los disparadores y las frases listas.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Cuándo debe informar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Cuando una persona conversa con un sistema de IA y podría creer que habla con un humano. Cuando un contenido (imagen, audio, video, texto) fue generado o manipulado por IA y podría tomarse por real. Cuando un sistema de reconocimiento de emociones o de categorización biométrica procesa a una persona. En cada caso, la información debe ser clara y llegar a más tardar en la primera interacción.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Las frases listas para usar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Para un asistente conversacional: «Está conversando con un asistente de inteligencia artificial. Sus preguntas pueden ser revisadas para mejorar el servicio.» Para contenido generado: «Este contenido fue generado con inteligencia artificial.» Para decisiones asistidas: «Esta recomendación fue producida por un sistema automatizado y revisada por una persona responsable.» Adapte el tono a su marca; no adapte la claridad.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Lo que no cuenta como transparencia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Una línea enterrada en los términos y condiciones. Un icono sin texto. Una mención que aparece después de la interacción. La prueba honesta: ¿una persona apurada, en un teléfono, lo entendería en dos segundos?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Por qué conviene ir más allá del mínimo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La transparencia no es solo cumplimiento: es la moneda de la confianza. Las organizaciones que informan con claridad reciben menos quejas, menos sorpresas regulatorias y más disposición de sus usuarios a corregir los errores del sistema.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Estas menciones son el QUÉ. El paquete completo de cumplimiento del Reglamento (la clasificación, la documentación técnica y los plazos) es el EU AI Act Compliance Pack de la capa de pago.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