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Bakbak One" w:hAnsi="Bakbak One" w:eastAsia="Bakbak One"/>
          <w:b/>
          <w:color w:val="48994E"/>
          <w:sz w:val="42"/>
        </w:rPr>
        <w:t>El control rápido de la cultura de IA</w:t>
      </w:r>
    </w:p>
    <w:p>
      <w:pPr>
        <w:spacing w:after="60"/>
      </w:pPr>
      <w:r>
        <w:rPr>
          <w:rFonts w:ascii="Bakbak One" w:hAnsi="Bakbak One" w:eastAsia="Bakbak One"/>
          <w:b/>
          <w:color w:val="48994E"/>
          <w:sz w:val="27"/>
        </w:rPr>
        <w:t>Abreviaturas y acrónimos</w:t>
      </w:r>
    </w:p>
    <w:p>
      <w:pPr>
        <w:spacing w:after="60"/>
      </w:pPr>
      <w:r>
        <w:rPr>
          <w:rFonts w:ascii="Cairo" w:hAnsi="Cairo" w:eastAsia="Cairo"/>
          <w:b w:val="0"/>
          <w:color w:val="1E3D21"/>
          <w:sz w:val="23"/>
        </w:rPr>
        <w:t>Ningún conocimiento previo se da por supuesto. Los acrónimos de este documento:</w:t>
      </w:r>
    </w:p>
    <w:p>
      <w:pPr>
        <w:spacing w:after="40"/>
      </w:pPr>
      <w:r>
        <w:rPr>
          <w:rFonts w:ascii="Cairo" w:hAnsi="Cairo" w:eastAsia="Cairo"/>
          <w:b/>
          <w:color w:val="48994E"/>
          <w:sz w:val="23"/>
        </w:rPr>
        <w:t>IA</w:t>
      </w:r>
      <w:r>
        <w:rPr>
          <w:rFonts w:ascii="Cairo" w:hAnsi="Cairo" w:eastAsia="Cairo"/>
          <w:b w:val="0"/>
          <w:color w:val="1E3D21"/>
          <w:sz w:val="23"/>
        </w:rPr>
        <w:t xml:space="preserve"> : inteligencia artificial</w:t>
      </w:r>
    </w:p>
    <w:p>
      <w:pPr>
        <w:spacing w:after="40"/>
      </w:pPr>
      <w:r>
        <w:rPr>
          <w:rFonts w:ascii="Cairo" w:hAnsi="Cairo" w:eastAsia="Cairo"/>
          <w:b/>
          <w:color w:val="48994E"/>
          <w:sz w:val="23"/>
        </w:rPr>
        <w:t>UE</w:t>
      </w:r>
      <w:r>
        <w:rPr>
          <w:rFonts w:ascii="Cairo" w:hAnsi="Cairo" w:eastAsia="Cairo"/>
          <w:b w:val="0"/>
          <w:color w:val="1E3D21"/>
          <w:sz w:val="23"/>
        </w:rPr>
        <w:t xml:space="preserve"> : Unión Europea</w:t>
      </w:r>
    </w:p>
    <w:p>
      <w:pPr>
        <w:spacing w:after="140" w:line="336" w:lineRule="auto"/>
        <w:jc w:val="left"/>
      </w:pPr>
      <w:r>
        <w:rPr>
          <w:rFonts w:ascii="Cairo" w:hAnsi="Cairo" w:eastAsia="Cairo"/>
          <w:b w:val="0"/>
          <w:color w:val="1E3D21"/>
          <w:sz w:val="23"/>
        </w:rPr>
        <w:t>Su personal usa inteligencia artificial (IA) todos los días. El Reglamento de IA de la UE espera, desde febrero de 2025, que quien la usa la entienda. Diez preguntas para saber dónde está su cultura.</w:t>
      </w:r>
    </w:p>
    <w:p>
      <w:pPr>
        <w:spacing w:before="240" w:after="80"/>
      </w:pPr>
      <w:r>
        <w:rPr>
          <w:rFonts w:ascii="Bakbak One" w:hAnsi="Bakbak One" w:eastAsia="Bakbak One"/>
          <w:b/>
          <w:color w:val="48994E"/>
          <w:sz w:val="27"/>
        </w:rPr>
        <w:t>Las diez preguntas</w:t>
      </w:r>
    </w:p>
    <w:p>
      <w:pPr>
        <w:spacing w:after="140" w:line="336" w:lineRule="auto"/>
        <w:jc w:val="left"/>
      </w:pPr>
      <w:r>
        <w:rPr>
          <w:rFonts w:ascii="Cairo" w:hAnsi="Cairo" w:eastAsia="Cairo"/>
          <w:b w:val="0"/>
          <w:color w:val="1E3D21"/>
          <w:sz w:val="23"/>
        </w:rPr>
        <w:t>1. ¿Su personal sabe qué sistemas de IA usa en su trabajo diario? 2. ¿Sabe qué datos puede y no puede introducir en una IA? 3. ¿Reconocería una respuesta inventada por el sistema? 4. ¿Sabe que una IA puede darle la razón por complacencia y no por verdad? 5. ¿Sabe a quién reportar un comportamiento extraño del sistema? 6. ¿Los directivos que aprueban sistemas de IA entienden lo que aprueban? 7. ¿Los nuevos empleados reciben una inducción de IA? 8. ¿Existe una política de uso aceptable, corta y leída? 9. ¿Alguien mide la cultura, no solo la asistencia a un curso? 10. ¿La formación se repite, o fue un evento único en el pasado?</w:t>
      </w:r>
    </w:p>
    <w:p>
      <w:pPr>
        <w:spacing w:before="240" w:after="80"/>
      </w:pPr>
      <w:r>
        <w:rPr>
          <w:rFonts w:ascii="Bakbak One" w:hAnsi="Bakbak One" w:eastAsia="Bakbak One"/>
          <w:b/>
          <w:color w:val="48994E"/>
          <w:sz w:val="27"/>
        </w:rPr>
        <w:t>Cómo leer su resultado</w:t>
      </w:r>
    </w:p>
    <w:p>
      <w:pPr>
        <w:spacing w:after="140" w:line="336" w:lineRule="auto"/>
        <w:jc w:val="left"/>
      </w:pPr>
      <w:r>
        <w:rPr>
          <w:rFonts w:ascii="Cairo" w:hAnsi="Cairo" w:eastAsia="Cairo"/>
          <w:b w:val="0"/>
          <w:color w:val="1E3D21"/>
          <w:sz w:val="23"/>
        </w:rPr>
        <w:t>Ocho a diez síes: cultura operativa; el riesgo humano está gestionado. Cinco a siete: cultura declarada; el trabajo es pasar del correo enviado al hábito verificado. Menos de cinco: su mayor riesgo de IA no es técnico, es humano, y es también el más barato de corregir.</w:t>
      </w:r>
    </w:p>
    <w:p>
      <w:pPr>
        <w:spacing w:before="240" w:after="80"/>
      </w:pPr>
      <w:r>
        <w:rPr>
          <w:rFonts w:ascii="Bakbak One" w:hAnsi="Bakbak One" w:eastAsia="Bakbak One"/>
          <w:b/>
          <w:color w:val="48994E"/>
          <w:sz w:val="27"/>
        </w:rPr>
        <w:t>La verdad incómoda</w:t>
      </w:r>
    </w:p>
    <w:p>
      <w:pPr>
        <w:spacing w:after="140" w:line="336" w:lineRule="auto"/>
        <w:jc w:val="left"/>
      </w:pPr>
      <w:r>
        <w:rPr>
          <w:rFonts w:ascii="Cairo" w:hAnsi="Cairo" w:eastAsia="Cairo"/>
          <w:b w:val="0"/>
          <w:color w:val="1E3D21"/>
          <w:sz w:val="23"/>
        </w:rPr>
        <w:t>Los incidentes de IA rara vez empiezan en el modelo: empiezan en una persona que pegó datos donde no debía, creyó una respuesta inventada o aprobó lo que no entendía. La cultura es la primera línea de contención.</w:t>
      </w:r>
    </w:p>
    <w:p>
      <w:pPr>
        <w:spacing w:before="240" w:after="80"/>
      </w:pPr>
      <w:r>
        <w:rPr>
          <w:rFonts w:ascii="Bakbak One" w:hAnsi="Bakbak One" w:eastAsia="Bakbak One"/>
          <w:b/>
          <w:color w:val="48994E"/>
          <w:sz w:val="27"/>
        </w:rPr>
        <w:t>El puente hacia la profundidad</w:t>
      </w:r>
    </w:p>
    <w:p>
      <w:pPr>
        <w:spacing w:after="140" w:line="336" w:lineRule="auto"/>
        <w:jc w:val="left"/>
      </w:pPr>
      <w:r>
        <w:rPr>
          <w:rFonts w:ascii="Cairo" w:hAnsi="Cairo" w:eastAsia="Cairo"/>
          <w:b w:val="0"/>
          <w:color w:val="1E3D21"/>
          <w:sz w:val="23"/>
        </w:rPr>
        <w:t>Este control es gratuito. El AI Literacy and Culture Program Kit de la capa de pago trae el programa completo: los módulos por rol, la política de uso aceptable lista y la medición de cultura.</w:t>
      </w:r>
    </w:p>
    <w:p>
      <w:pPr>
        <w:pBdr>
          <w:bottom w:val="single" w:sz="6" w:space="1" w:color="BDE051"/>
        </w:pBdr>
        <w:spacing w:before="280" w:after="120"/>
      </w:pPr>
    </w:p>
    <w:p>
      <w:pPr>
        <w:spacing w:after="20"/>
      </w:pPr>
      <w:r>
        <w:rPr>
          <w:rFonts w:ascii="Bakbak One" w:hAnsi="Bakbak One" w:eastAsia="Bakbak One"/>
          <w:b/>
          <w:color w:val="48994E"/>
          <w:sz w:val="19"/>
        </w:rPr>
        <w:t>AI GOVERNANCE CHAIN™</w:t>
      </w:r>
    </w:p>
    <w:p>
      <w:pPr>
        <w:spacing w:after="20"/>
      </w:pPr>
      <w:r>
        <w:rPr>
          <w:rFonts w:ascii="Cairo" w:hAnsi="Cairo" w:eastAsia="Cairo"/>
          <w:b w:val="0"/>
          <w:color w:val="48994E"/>
          <w:sz w:val="19"/>
        </w:rPr>
        <w:t>Marco de gobernanza de la IA</w:t>
      </w:r>
    </w:p>
    <w:p>
      <w:pPr>
        <w:spacing w:after="20"/>
      </w:pPr>
      <w:r>
        <w:rPr>
          <w:rFonts w:ascii="Cairo" w:hAnsi="Cairo" w:eastAsia="Cairo"/>
          <w:b w:val="0"/>
          <w:color w:val="48994E"/>
          <w:sz w:val="19"/>
        </w:rPr>
        <w:t>© 2026 Mathieu K. Gouanou. Todos los derechos reservados.</w:t>
      </w:r>
    </w:p>
    <w:p>
      <w:pPr>
        <w:spacing w:after="20"/>
      </w:pPr>
      <w:r>
        <w:rPr>
          <w:rFonts w:ascii="Cairo" w:hAnsi="Cairo" w:eastAsia="Cairo"/>
          <w:b w:val="0"/>
          <w:color w:val="48994E"/>
          <w:sz w:val="19"/>
        </w:rPr>
        <w:t>Miembro del Consejo Asesor de Harvard Business Review.</w:t>
      </w:r>
    </w:p>
    <w:p>
      <w:pPr>
        <w:spacing w:after="20"/>
      </w:pPr>
      <w:r>
        <w:rPr>
          <w:rFonts w:ascii="Cairo" w:hAnsi="Cairo" w:eastAsia="Cairo"/>
          <w:b w:val="0"/>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