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pPr>
      <w:r>
        <w:rPr>
          <w:rFonts w:ascii="Bakbak One" w:hAnsi="Bakbak One" w:eastAsia="Bakbak One"/>
          <w:b/>
          <w:color w:val="48994E"/>
          <w:sz w:val="42"/>
        </w:rPr>
        <w:t>El autodiagnóstico: gobierne antes de escalar</w:t>
      </w:r>
    </w:p>
    <w:p>
      <w:pPr>
        <w:spacing w:after="60"/>
      </w:pPr>
      <w:r>
        <w:rPr>
          <w:rFonts w:ascii="Bakbak One" w:hAnsi="Bakbak One" w:eastAsia="Bakbak One"/>
          <w:b/>
          <w:color w:val="48994E"/>
          <w:sz w:val="27"/>
        </w:rPr>
        <w:t>Abreviaturas y acrónimos</w:t>
      </w:r>
    </w:p>
    <w:p>
      <w:pPr>
        <w:spacing w:after="60"/>
      </w:pPr>
      <w:r>
        <w:rPr>
          <w:rFonts w:ascii="Cairo" w:hAnsi="Cairo" w:eastAsia="Cairo"/>
          <w:b w:val="0"/>
          <w:color w:val="1E3D21"/>
          <w:sz w:val="23"/>
        </w:rPr>
        <w:t>Ningún conocimiento previo se da por supuesto. Los acrónimos de este documento:</w:t>
      </w:r>
    </w:p>
    <w:p>
      <w:pPr>
        <w:spacing w:after="40"/>
      </w:pPr>
      <w:r>
        <w:rPr>
          <w:rFonts w:ascii="Cairo" w:hAnsi="Cairo" w:eastAsia="Cairo"/>
          <w:b/>
          <w:color w:val="48994E"/>
          <w:sz w:val="23"/>
        </w:rPr>
        <w:t>IA</w:t>
      </w:r>
      <w:r>
        <w:rPr>
          <w:rFonts w:ascii="Cairo" w:hAnsi="Cairo" w:eastAsia="Cairo"/>
          <w:b w:val="0"/>
          <w:color w:val="1E3D21"/>
          <w:sz w:val="23"/>
        </w:rPr>
        <w:t xml:space="preserve"> : inteligencia artificial</w:t>
      </w:r>
    </w:p>
    <w:p>
      <w:pPr>
        <w:spacing w:after="140" w:line="336" w:lineRule="auto"/>
        <w:jc w:val="left"/>
      </w:pPr>
      <w:r>
        <w:rPr>
          <w:rFonts w:ascii="Cairo" w:hAnsi="Cairo" w:eastAsia="Cairo"/>
          <w:b w:val="0"/>
          <w:color w:val="1E3D21"/>
          <w:sz w:val="23"/>
        </w:rPr>
        <w:t>Diez preguntas que revelan su brecha más grande antes de que la escala la convierta en crisis. Responda sí o no, sin generosidad.</w:t>
      </w:r>
    </w:p>
    <w:p>
      <w:pPr>
        <w:spacing w:before="240" w:after="80"/>
      </w:pPr>
      <w:r>
        <w:rPr>
          <w:rFonts w:ascii="Bakbak One" w:hAnsi="Bakbak One" w:eastAsia="Bakbak One"/>
          <w:b/>
          <w:color w:val="48994E"/>
          <w:sz w:val="27"/>
        </w:rPr>
        <w:t>Las diez preguntas</w:t>
      </w:r>
    </w:p>
    <w:p>
      <w:pPr>
        <w:spacing w:after="140" w:line="336" w:lineRule="auto"/>
        <w:jc w:val="left"/>
      </w:pPr>
      <w:r>
        <w:rPr>
          <w:rFonts w:ascii="Cairo" w:hAnsi="Cairo" w:eastAsia="Cairo"/>
          <w:b w:val="0"/>
          <w:color w:val="1E3D21"/>
          <w:sz w:val="23"/>
        </w:rPr>
        <w:t>1. ¿Tiene un inventario completo de sus sistemas de inteligencia artificial (IA)? 2. ¿Cada sistema de alto impacto tiene un responsable con nombre? 3. ¿Sabe qué datos alimentan cada sistema y con qué derecho los usa? 4. ¿Ha clasificado cada sistema según el Reglamento de IA de la Unión Europea? 5. ¿Ha probado si su IA le da la razón cuando usted se equivoca? 6. ¿Existe un plan escrito para la primera hora de un incidente? 7. ¿Alguien puede detener un sistema sin pedir permiso a un comité? 8. ¿El directorio ha discutido el riesgo de IA en los últimos noventa días? 9. ¿Sus proveedores de IA respondieron alguna vez un cuestionario de riesgo? 10. ¿Alguien re-evalúa todo esto con una cadencia fija?</w:t>
      </w:r>
    </w:p>
    <w:p>
      <w:pPr>
        <w:spacing w:before="240" w:after="80"/>
      </w:pPr>
      <w:r>
        <w:rPr>
          <w:rFonts w:ascii="Bakbak One" w:hAnsi="Bakbak One" w:eastAsia="Bakbak One"/>
          <w:b/>
          <w:color w:val="48994E"/>
          <w:sz w:val="27"/>
        </w:rPr>
        <w:t>Cómo leer su resultado</w:t>
      </w:r>
    </w:p>
    <w:p>
      <w:pPr>
        <w:spacing w:after="140" w:line="336" w:lineRule="auto"/>
        <w:jc w:val="left"/>
      </w:pPr>
      <w:r>
        <w:rPr>
          <w:rFonts w:ascii="Cairo" w:hAnsi="Cairo" w:eastAsia="Cairo"/>
          <w:b w:val="0"/>
          <w:color w:val="1E3D21"/>
          <w:sz w:val="23"/>
        </w:rPr>
        <w:t>Ocho a diez síes: usted gobierna; escale con confianza y mida trimestralmente. Cinco a siete: gobierna en parte; cierre primero las preguntas 2, 6 y 7, que son las que duelen en una crisis. Cero a cuatro: no escale todavía; cada sistema nuevo multiplica una exposición que nadie posee.</w:t>
      </w:r>
    </w:p>
    <w:p>
      <w:pPr>
        <w:spacing w:before="240" w:after="80"/>
      </w:pPr>
      <w:r>
        <w:rPr>
          <w:rFonts w:ascii="Bakbak One" w:hAnsi="Bakbak One" w:eastAsia="Bakbak One"/>
          <w:b/>
          <w:color w:val="48994E"/>
          <w:sz w:val="27"/>
        </w:rPr>
        <w:t>Por qué antes y no después</w:t>
      </w:r>
    </w:p>
    <w:p>
      <w:pPr>
        <w:spacing w:after="140" w:line="336" w:lineRule="auto"/>
        <w:jc w:val="left"/>
      </w:pPr>
      <w:r>
        <w:rPr>
          <w:rFonts w:ascii="Cairo" w:hAnsi="Cairo" w:eastAsia="Cairo"/>
          <w:b w:val="0"/>
          <w:color w:val="1E3D21"/>
          <w:sz w:val="23"/>
        </w:rPr>
        <w:t>Gobernar antes de escalar cuesta una fracción de gobernar después. Después, la gobernanza compite con la inercia, los incidentes y los reguladores al mismo tiempo. Antes, es una decisión de diseño.</w:t>
      </w:r>
    </w:p>
    <w:p>
      <w:pPr>
        <w:spacing w:before="240" w:after="80"/>
      </w:pPr>
      <w:r>
        <w:rPr>
          <w:rFonts w:ascii="Bakbak One" w:hAnsi="Bakbak One" w:eastAsia="Bakbak One"/>
          <w:b/>
          <w:color w:val="48994E"/>
          <w:sz w:val="27"/>
        </w:rPr>
        <w:t>El puente hacia la profundidad</w:t>
      </w:r>
    </w:p>
    <w:p>
      <w:pPr>
        <w:spacing w:after="140" w:line="336" w:lineRule="auto"/>
        <w:jc w:val="left"/>
      </w:pPr>
      <w:r>
        <w:rPr>
          <w:rFonts w:ascii="Cairo" w:hAnsi="Cairo" w:eastAsia="Cairo"/>
          <w:b w:val="0"/>
          <w:color w:val="1E3D21"/>
          <w:sz w:val="23"/>
        </w:rPr>
        <w:t>Este diagnóstico es gratuito y suficiente para saber dónde está. El paso HECHO PARA USTED es la Pre-Scale Governance Audit: una evaluación independiente, con evidencia y plan de cierre, del autor del AI Governance Emergency Response Framework (AI-ERF)™.</w:t>
      </w:r>
    </w:p>
    <w:p>
      <w:pPr>
        <w:pBdr>
          <w:bottom w:val="single" w:sz="6" w:space="1" w:color="BDE051"/>
        </w:pBdr>
        <w:spacing w:before="280" w:after="120"/>
      </w:pPr>
    </w:p>
    <w:p>
      <w:pPr>
        <w:spacing w:after="20"/>
      </w:pPr>
      <w:r>
        <w:rPr>
          <w:rFonts w:ascii="Bakbak One" w:hAnsi="Bakbak One" w:eastAsia="Bakbak One"/>
          <w:b/>
          <w:color w:val="48994E"/>
          <w:sz w:val="19"/>
        </w:rPr>
        <w:t>AI GOVERNANCE CHAIN™</w:t>
      </w:r>
    </w:p>
    <w:p>
      <w:pPr>
        <w:spacing w:after="20"/>
      </w:pPr>
      <w:r>
        <w:rPr>
          <w:rFonts w:ascii="Cairo" w:hAnsi="Cairo" w:eastAsia="Cairo"/>
          <w:b w:val="0"/>
          <w:color w:val="48994E"/>
          <w:sz w:val="19"/>
        </w:rPr>
        <w:t>Marco de gobernanza de la IA</w:t>
      </w:r>
    </w:p>
    <w:p>
      <w:pPr>
        <w:spacing w:after="20"/>
      </w:pPr>
      <w:r>
        <w:rPr>
          <w:rFonts w:ascii="Cairo" w:hAnsi="Cairo" w:eastAsia="Cairo"/>
          <w:b w:val="0"/>
          <w:color w:val="48994E"/>
          <w:sz w:val="19"/>
        </w:rPr>
        <w:t>© 2026 Mathieu K. Gouanou. Todos los derechos reservados.</w:t>
      </w:r>
    </w:p>
    <w:p>
      <w:pPr>
        <w:spacing w:after="20"/>
      </w:pPr>
      <w:r>
        <w:rPr>
          <w:rFonts w:ascii="Cairo" w:hAnsi="Cairo" w:eastAsia="Cairo"/>
          <w:b w:val="0"/>
          <w:color w:val="48994E"/>
          <w:sz w:val="19"/>
        </w:rPr>
        <w:t>Miembro del Consejo Asesor de Harvard Business Review.</w:t>
      </w:r>
    </w:p>
    <w:p>
      <w:pPr>
        <w:spacing w:after="20"/>
      </w:pPr>
      <w:r>
        <w:rPr>
          <w:rFonts w:ascii="Cairo" w:hAnsi="Cairo" w:eastAsia="Cairo"/>
          <w:b w:val="0"/>
          <w:color w:val="48994E"/>
          <w:sz w:val="19"/>
        </w:rPr>
        <w:t>Norma del documento: gobernanza de la IA centrada en el ser humano.</w:t>
      </w:r>
    </w:p>
    <w:sectPr w:rsidR="00FC693F" w:rsidRPr="0006063C" w:rsidSect="00034616">
      <w:footerReference w:type="default" r:id="rId9"/>
      <w:pgSz w:w="12240" w:h="15840"/>
      <w:pgMar w:top="1077" w:right="1077" w:bottom="124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hAnsi="Cairo"/>
        <w:color w:val="48994E"/>
        <w:sz w:val="19"/>
      </w:rPr>
      <w:fldChar w:fldCharType="begin"/>
      <w:instrText xml:space="preserve">PAGE</w:instrText>
      <w:fldChar w:fldCharType="end"/>
    </w:r>
    <w:r>
      <w:rPr>
        <w:rFonts w:ascii="Cairo" w:hAnsi="Cairo"/>
        <w:color w:val="48994E"/>
        <w:sz w:val="19"/>
      </w:rPr>
      <w:t>/</w:t>
    </w:r>
    <w:r>
      <w:rPr>
        <w:rFonts w:ascii="Cairo" w:hAnsi="Cairo"/>
        <w:color w:val="48994E"/>
        <w:sz w:val="19"/>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