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Bakbak One" w:hAnsi="Bakbak One" w:eastAsia="Bakbak One"/>
          <w:b/>
          <w:color w:val="48994E"/>
          <w:sz w:val="42"/>
        </w:rPr>
        <w:t>El filtrado de derechos humanos para sistemas de IA</w:t>
      </w:r>
    </w:p>
    <w:p>
      <w:pPr>
        <w:spacing w:after="60"/>
      </w:pPr>
      <w:r>
        <w:rPr>
          <w:rFonts w:ascii="Bakbak One" w:hAnsi="Bakbak One" w:eastAsia="Bakbak One"/>
          <w:b/>
          <w:color w:val="48994E"/>
          <w:sz w:val="27"/>
        </w:rPr>
        <w:t>Abreviaturas y acrónimos</w:t>
      </w:r>
    </w:p>
    <w:p>
      <w:pPr>
        <w:spacing w:after="60"/>
      </w:pPr>
      <w:r>
        <w:rPr>
          <w:rFonts w:ascii="Cairo" w:hAnsi="Cairo" w:eastAsia="Cairo"/>
          <w:b w:val="0"/>
          <w:color w:val="1E3D21"/>
          <w:sz w:val="23"/>
        </w:rPr>
        <w:t>Ningún conocimiento previo se da por supuesto. Los acrónimos de este documento:</w:t>
      </w:r>
    </w:p>
    <w:p>
      <w:pPr>
        <w:spacing w:after="40"/>
      </w:pPr>
      <w:r>
        <w:rPr>
          <w:rFonts w:ascii="Cairo" w:hAnsi="Cairo" w:eastAsia="Cairo"/>
          <w:b/>
          <w:color w:val="48994E"/>
          <w:sz w:val="23"/>
        </w:rPr>
        <w:t>IA</w:t>
      </w:r>
      <w:r>
        <w:rPr>
          <w:rFonts w:ascii="Cairo" w:hAnsi="Cairo" w:eastAsia="Cairo"/>
          <w:b w:val="0"/>
          <w:color w:val="1E3D21"/>
          <w:sz w:val="23"/>
        </w:rPr>
        <w:t xml:space="preserve"> : inteligencia artificial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Ocho preguntas antes de desplegar cualquier sistema de inteligencia artificial (IA) que toque personas. El lente que los compradores públicos y globales exigen, en una página.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Las ocho preguntas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1. ¿El sistema decide o influye sobre el acceso de una persona a un derecho o servicio: crédito, salud, empleo, educación, prestaciones? 2. ¿Puede tratar de forma desigual a grupos protegidos, aunque nadie lo haya querido? 3. ¿Procesa datos sensibles: salud, biometría, opinión, origen? 4. ¿Vigila, puntúa o perfila personas de manera continua? 5. ¿Una persona afectada puede saber que el sistema existe y la evaluó? 6. ¿Puede apelar a un humano con autoridad para revertir? 7. ¿El sistema podría enfriar el ejercicio de un derecho: expresarse, reunirse, reclamar? 8. ¿Los más vulnerables (menores, personas mayores, minorías) están más expuestos que el promedio?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Cómo leer su resultado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Cualquier sí en las preguntas 1 a 4 exige una evaluación de impacto completa antes del despliegue. Un no en las preguntas 5 o 6 es una falla de diseño que debe corregirse, no documentarse. Los síes en 7 y 8 suben la severidad de todo lo demás.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Por qué esto no es opcional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Para el sector público, la carga de derechos es estatutaria. Para el sector privado, es la diferencia entre un incidente técnico y un escándalo con nombre de víctima. Los derechos no son una sección del informe: son la razón del informe.</w:t>
      </w:r>
    </w:p>
    <w:p>
      <w:pPr>
        <w:spacing w:before="240" w:after="80"/>
      </w:pPr>
      <w:r>
        <w:rPr>
          <w:rFonts w:ascii="Bakbak One" w:hAnsi="Bakbak One" w:eastAsia="Bakbak One"/>
          <w:b/>
          <w:color w:val="48994E"/>
          <w:sz w:val="27"/>
        </w:rPr>
        <w:t>El puente hacia la profundidad</w:t>
      </w:r>
    </w:p>
    <w:p>
      <w:pPr>
        <w:spacing w:after="140" w:line="336" w:lineRule="auto"/>
        <w:jc w:val="left"/>
      </w:pPr>
      <w:r>
        <w:rPr>
          <w:rFonts w:ascii="Cairo" w:hAnsi="Cairo" w:eastAsia="Cairo"/>
          <w:b w:val="0"/>
          <w:color w:val="1E3D21"/>
          <w:sz w:val="23"/>
        </w:rPr>
        <w:t>Este filtrado es gratuito. El AI and Human Rights Impact Kit de la capa de pago trae la evaluación de impacto completa, el registro de derechos y las plantillas de consulta a los afectados.</w:t>
      </w:r>
    </w:p>
    <w:p>
      <w:pPr>
        <w:pBdr>
          <w:bottom w:val="single" w:sz="6" w:space="1" w:color="BDE051"/>
        </w:pBdr>
        <w:spacing w:before="280" w:after="120"/>
      </w:pPr>
    </w:p>
    <w:p>
      <w:pPr>
        <w:spacing w:after="20"/>
      </w:pPr>
      <w:r>
        <w:rPr>
          <w:rFonts w:ascii="Bakbak One" w:hAnsi="Bakbak One" w:eastAsia="Bakbak One"/>
          <w:b/>
          <w:color w:val="48994E"/>
          <w:sz w:val="19"/>
        </w:rPr>
        <w:t>AI GOVERNANCE CHAIN™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Marco de gobernanza de la IA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© 2026 Mathieu K. Gouanou. Todos los derechos reservados.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Miembro del Consejo Asesor de Harvard Business Review.</w:t>
      </w:r>
    </w:p>
    <w:p>
      <w:pPr>
        <w:spacing w:after="20"/>
      </w:pPr>
      <w:r>
        <w:rPr>
          <w:rFonts w:ascii="Cairo" w:hAnsi="Cairo" w:eastAsia="Cairo"/>
          <w:b w:val="0"/>
          <w:color w:val="48994E"/>
          <w:sz w:val="19"/>
        </w:rPr>
        <w:t>Norma del documento: gobernanza de la IA centrada en el ser humano.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9"/>
      </w:rPr>
      <w:fldChar w:fldCharType="begin"/>
      <w:instrText xml:space="preserve">PAGE</w:instrText>
      <w:fldChar w:fldCharType="end"/>
    </w:r>
    <w:r>
      <w:rPr>
        <w:rFonts w:ascii="Cairo" w:hAnsi="Cairo"/>
        <w:color w:val="48994E"/>
        <w:sz w:val="19"/>
      </w:rPr>
      <w:t>/</w:t>
    </w:r>
    <w:r>
      <w:rPr>
        <w:rFonts w:ascii="Cairo" w:hAnsi="Cairo"/>
        <w:color w:val="48994E"/>
        <w:sz w:val="19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