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formulario de entrada de casos de uso de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La puerta de entrada de la gobernanza: ningún sistema de inteligencia artificial (IA) entra en producción sin pasar por este formulario. Una página por sistema, antes del despliegue, sin excepciones.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Los campos que importan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Nombre del caso de uso y descripción en una frase. Propietario responsable (un nombre, no un equipo). Datos que consume y su origen. Personas afectadas por sus decisiones. Grado de autonomía: ¿recomienda, decide o actúa? Proveedor externo, si existe, y qué garantías dio.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clasificación de riesgo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Marque una casilla según el Reglamento de IA de la Unión Europea: riesgo mínimo, riesgo limitado (obligaciones de transparencia), alto riesgo (documentación, supervisión humana y gestión de riesgos exigidas) o práctica prohibida. Si duda entre dos niveles, elija el más alto y deje que la revisión lo baje.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ruta según el resultado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Riesgo mínimo: registre y despliegue. Riesgo limitado: añada las menciones de transparencia y registre. Alto riesgo: la revisión de gobernanza es obligatoria antes del despliegue; nombre al responsable y active la documentación. Prohibido: deténgase; el caso no procede en ninguna versión.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Por qué funciona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formulario convierte la gobernanza en un hábito de entrada, no en una auditoría de salida. Cuesta diez minutos por sistema y elimina la pregunta más cara de todas: ¿quién aprobó esto?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formulario es gratuito. El flujo completo de revisión (los criterios, el comité, las plantillas de decisión y el registro auditable) vive en el AI Governance Operating System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