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Bakbak One" w:hAnsi="Bakbak One"/>
          <w:b/>
          <w:color w:val="48994E"/>
          <w:sz w:val="42"/>
        </w:rPr>
        <w:t>El glosario de la gobernanza de la IA, Edición ampliada</w:t>
      </w:r>
    </w:p>
    <w:p>
      <w:pPr>
        <w:pBdr>
          <w:bottom w:val="single" w:sz="20" w:space="1" w:color="BDE051"/>
        </w:pBdr>
      </w:pP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Abreviaturas y acrónimos</w:t>
      </w:r>
    </w:p>
    <w:p>
      <w:pPr>
        <w:spacing w:after="120" w:line="336" w:lineRule="auto"/>
      </w:pPr>
      <w:r>
        <w:rPr>
          <w:rFonts w:ascii="Cairo" w:hAnsi="Cairo"/>
          <w:color w:val="1E3D21"/>
          <w:sz w:val="23"/>
        </w:rPr>
        <w:t>Ningún conocimiento previo se da por supuesto. Los acrónimos de este documento: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IA</w:t>
      </w:r>
      <w:r>
        <w:rPr>
          <w:rFonts w:ascii="Cairo" w:hAnsi="Cairo"/>
          <w:color w:val="1E3D21"/>
          <w:sz w:val="23"/>
        </w:rPr>
        <w:t>: inteligencia artificial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UE</w:t>
      </w:r>
      <w:r>
        <w:rPr>
          <w:rFonts w:ascii="Cairo" w:hAnsi="Cairo"/>
          <w:color w:val="1E3D21"/>
          <w:sz w:val="23"/>
        </w:rPr>
        <w:t>: Unión Europea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ISO/IEC</w:t>
      </w:r>
      <w:r>
        <w:rPr>
          <w:rFonts w:ascii="Cairo" w:hAnsi="Cairo"/>
          <w:color w:val="1E3D21"/>
          <w:sz w:val="23"/>
        </w:rPr>
        <w:t>: Organización Internacional de Normalización / Comisión Electrotécnica Internacional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NIST</w:t>
      </w:r>
      <w:r>
        <w:rPr>
          <w:rFonts w:ascii="Cairo" w:hAnsi="Cairo"/>
          <w:color w:val="1E3D21"/>
          <w:sz w:val="23"/>
        </w:rPr>
        <w:t>: Instituto Nacional de Estándares y Tecnología (Estados Unidos)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RMF</w:t>
      </w:r>
      <w:r>
        <w:rPr>
          <w:rFonts w:ascii="Cairo" w:hAnsi="Cairo"/>
          <w:color w:val="1E3D21"/>
          <w:sz w:val="23"/>
        </w:rPr>
        <w:t>: marco de gestión de riesgos (Risk Management Framework)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RACI</w:t>
      </w:r>
      <w:r>
        <w:rPr>
          <w:rFonts w:ascii="Cairo" w:hAnsi="Cairo"/>
          <w:color w:val="1E3D21"/>
          <w:sz w:val="23"/>
        </w:rPr>
        <w:t>: Responsable, Aprobador, Consultado, Informado</w:t>
      </w:r>
    </w:p>
    <w:p>
      <w:pPr>
        <w:spacing w:after="120" w:line="336" w:lineRule="auto"/>
      </w:pPr>
      <w:r>
        <w:rPr>
          <w:rFonts w:ascii="Cairo" w:hAnsi="Cairo"/>
          <w:color w:val="1E3D21"/>
          <w:sz w:val="23"/>
        </w:rPr>
        <w:t>Cincuenta términos, definidos en lenguaje claro, para que nadie quede fuera de la conversación de gobernanza. Este es el vocabulario que usan nuestros instrumentos, nuestros marcos y el mercado.</w:t>
      </w: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Los términos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Gobernanza de la IA</w:t>
      </w:r>
      <w:r>
        <w:rPr>
          <w:rFonts w:ascii="Cairo" w:hAnsi="Cairo"/>
          <w:color w:val="1E3D21"/>
          <w:sz w:val="23"/>
        </w:rPr>
        <w:t>. El sistema de reglas, roles, controles y evidencias mediante el cual una organización dirige y supervisa su inteligencia artificial. No es un documento: es una práctica operativa.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Activación</w:t>
      </w:r>
      <w:r>
        <w:rPr>
          <w:rFonts w:ascii="Cairo" w:hAnsi="Cairo"/>
          <w:color w:val="1E3D21"/>
          <w:sz w:val="23"/>
        </w:rPr>
        <w:t>. El acto formal de poner en marcha la respuesta a un incidente de IA. Cualquiera puede activar; el mando se asigna después.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Agente de IA</w:t>
      </w:r>
      <w:r>
        <w:rPr>
          <w:rFonts w:ascii="Cairo" w:hAnsi="Cairo"/>
          <w:color w:val="1E3D21"/>
          <w:sz w:val="23"/>
        </w:rPr>
        <w:t>. Un sistema de IA que ejecuta acciones de varios pasos con autonomía, en lugar de limitarse a responder preguntas.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IA agéntica</w:t>
      </w:r>
      <w:r>
        <w:rPr>
          <w:rFonts w:ascii="Cairo" w:hAnsi="Cairo"/>
          <w:color w:val="1E3D21"/>
          <w:sz w:val="23"/>
        </w:rPr>
        <w:t>. IA capaz de actuar por sí misma: planificar, ejecutar y encadenar decisiones sin aprobación humana en cada paso. La frontera de riesgo actual.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Alucinación</w:t>
      </w:r>
      <w:r>
        <w:rPr>
          <w:rFonts w:ascii="Cairo" w:hAnsi="Cairo"/>
          <w:color w:val="1E3D21"/>
          <w:sz w:val="23"/>
        </w:rPr>
        <w:t>. Una salida de IA presentada con confianza pero factualmente falsa. Se gobierna con citación de fuentes y verificación humana.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Auditoría de IA</w:t>
      </w:r>
      <w:r>
        <w:rPr>
          <w:rFonts w:ascii="Cairo" w:hAnsi="Cairo"/>
          <w:color w:val="1E3D21"/>
          <w:sz w:val="23"/>
        </w:rPr>
        <w:t>. El examen independiente de un sistema de IA y de su gobernanza, con evidencias verificables como resultado.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Pista de auditoría</w:t>
      </w:r>
      <w:r>
        <w:rPr>
          <w:rFonts w:ascii="Cairo" w:hAnsi="Cairo"/>
          <w:color w:val="1E3D21"/>
          <w:sz w:val="23"/>
        </w:rPr>
        <w:t>. El registro cronológico e inalterable de decisiones y cambios que permite reconstruir qué pasó y quién decidió.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Sesgo</w:t>
      </w:r>
      <w:r>
        <w:rPr>
          <w:rFonts w:ascii="Cairo" w:hAnsi="Cairo"/>
          <w:color w:val="1E3D21"/>
          <w:sz w:val="23"/>
        </w:rPr>
        <w:t>. Un patrón sistemático de error que favorece o perjudica a grupos o resultados específicos. Se mide, no se declara.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Caja negra</w:t>
      </w:r>
      <w:r>
        <w:rPr>
          <w:rFonts w:ascii="Cairo" w:hAnsi="Cairo"/>
          <w:color w:val="1E3D21"/>
          <w:sz w:val="23"/>
        </w:rPr>
        <w:t>. Un sistema cuyas decisiones no pueden explicarse en términos comprensibles. La opacidad no exime de responsabilidad.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Clasificación de riesgo</w:t>
      </w:r>
      <w:r>
        <w:rPr>
          <w:rFonts w:ascii="Cairo" w:hAnsi="Cairo"/>
          <w:color w:val="1E3D21"/>
          <w:sz w:val="23"/>
        </w:rPr>
        <w:t>. La asignación de cada sistema de IA a un nivel de riesgo (inaceptable, alto, limitado, mínimo) según el Reglamento de IA de la UE.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Responsabilidad (accountability)</w:t>
      </w:r>
      <w:r>
        <w:rPr>
          <w:rFonts w:ascii="Cairo" w:hAnsi="Cairo"/>
          <w:color w:val="1E3D21"/>
          <w:sz w:val="23"/>
        </w:rPr>
        <w:t>. La obligación, con nombre propio, de responder por un sistema de IA. Si nadie es responsable, todos lo son y nadie lo es.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Conjunto de datos de entrenamiento</w:t>
      </w:r>
      <w:r>
        <w:rPr>
          <w:rFonts w:ascii="Cairo" w:hAnsi="Cairo"/>
          <w:color w:val="1E3D21"/>
          <w:sz w:val="23"/>
        </w:rPr>
        <w:t>. Los datos con los que se construyó un modelo. Su procedencia y calidad determinan gran parte del riesgo.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Contención</w:t>
      </w:r>
      <w:r>
        <w:rPr>
          <w:rFonts w:ascii="Cairo" w:hAnsi="Cairo"/>
          <w:color w:val="1E3D21"/>
          <w:sz w:val="23"/>
        </w:rPr>
        <w:t>. La primera acción de una respuesta a incidentes: detener el daño antes de explicarlo. Detener, restringir o vigilar.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Deriva del modelo</w:t>
      </w:r>
      <w:r>
        <w:rPr>
          <w:rFonts w:ascii="Cairo" w:hAnsi="Cairo"/>
          <w:color w:val="1E3D21"/>
          <w:sz w:val="23"/>
        </w:rPr>
        <w:t>. La degradación gradual del comportamiento de un modelo a medida que el mundo cambia y los datos envejecen.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Deriva de confirmación</w:t>
      </w:r>
      <w:r>
        <w:rPr>
          <w:rFonts w:ascii="Cairo" w:hAnsi="Cairo"/>
          <w:color w:val="1E3D21"/>
          <w:sz w:val="23"/>
        </w:rPr>
        <w:t>. Un patrón de sicofancia: la IA ajusta sus respuestas a lo que el usuario ya cree, en lugar de a la evidencia.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Capitulación</w:t>
      </w:r>
      <w:r>
        <w:rPr>
          <w:rFonts w:ascii="Cairo" w:hAnsi="Cairo"/>
          <w:color w:val="1E3D21"/>
          <w:sz w:val="23"/>
        </w:rPr>
        <w:t>. Un patrón de sicofancia: la IA abandona una respuesta correcta cuando el usuario la contradice.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Sesgo de adulación</w:t>
      </w:r>
      <w:r>
        <w:rPr>
          <w:rFonts w:ascii="Cairo" w:hAnsi="Cairo"/>
          <w:color w:val="1E3D21"/>
          <w:sz w:val="23"/>
        </w:rPr>
        <w:t>. Un patrón de sicofancia: la IA elogia y valida al usuario para agradar, a costa de la verdad.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Acuerdo fabricado</w:t>
      </w:r>
      <w:r>
        <w:rPr>
          <w:rFonts w:ascii="Cairo" w:hAnsi="Cairo"/>
          <w:color w:val="1E3D21"/>
          <w:sz w:val="23"/>
        </w:rPr>
        <w:t>. Un patrón de sicofancia: la IA inventa consenso o evidencia para respaldar la posición del usuario.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Sicofancia</w:t>
      </w:r>
      <w:r>
        <w:rPr>
          <w:rFonts w:ascii="Cairo" w:hAnsi="Cairo"/>
          <w:color w:val="1E3D21"/>
          <w:sz w:val="23"/>
        </w:rPr>
        <w:t>. La falla que nadie más nombra: una IA que prefiere estar de acuerdo con usted antes que decirle la verdad. Se detecta, se registra y se gobierna.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Explicabilidad</w:t>
      </w:r>
      <w:r>
        <w:rPr>
          <w:rFonts w:ascii="Cairo" w:hAnsi="Cairo"/>
          <w:color w:val="1E3D21"/>
          <w:sz w:val="23"/>
        </w:rPr>
        <w:t>. La capacidad de justificar una decisión de IA en términos que una persona afectada pueda entender y cuestionar.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Equidad (fairness)</w:t>
      </w:r>
      <w:r>
        <w:rPr>
          <w:rFonts w:ascii="Cairo" w:hAnsi="Cairo"/>
          <w:color w:val="1E3D21"/>
          <w:sz w:val="23"/>
        </w:rPr>
        <w:t>. La propiedad medible de que un sistema no produce resultados sistemáticamente peores para grupos protegidos.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Gobernanza federada</w:t>
      </w:r>
      <w:r>
        <w:rPr>
          <w:rFonts w:ascii="Cairo" w:hAnsi="Cairo"/>
          <w:color w:val="1E3D21"/>
          <w:sz w:val="23"/>
        </w:rPr>
        <w:t>. Un modelo donde unidades autónomas gobiernan su propia IA bajo normas y reportes comunes. El patrón de las grandes organizaciones.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Guardarraíl (guardrail)</w:t>
      </w:r>
      <w:r>
        <w:rPr>
          <w:rFonts w:ascii="Cairo" w:hAnsi="Cairo"/>
          <w:color w:val="1E3D21"/>
          <w:sz w:val="23"/>
        </w:rPr>
        <w:t>. Un límite técnico u operativo que impide que un sistema de IA actúe fuera de su ámbito autorizado.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Humano en el circuito</w:t>
      </w:r>
      <w:r>
        <w:rPr>
          <w:rFonts w:ascii="Cairo" w:hAnsi="Cairo"/>
          <w:color w:val="1E3D21"/>
          <w:sz w:val="23"/>
        </w:rPr>
        <w:t>. Un modelo de control donde una persona aprueba cada decisión significativa antes de que surta efecto.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Humano sobre el circuito</w:t>
      </w:r>
      <w:r>
        <w:rPr>
          <w:rFonts w:ascii="Cairo" w:hAnsi="Cairo"/>
          <w:color w:val="1E3D21"/>
          <w:sz w:val="23"/>
        </w:rPr>
        <w:t>. Un modelo de control donde la persona supervisa y puede intervenir, sin aprobar cada decisión individual.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Incidente de IA</w:t>
      </w:r>
      <w:r>
        <w:rPr>
          <w:rFonts w:ascii="Cairo" w:hAnsi="Cairo"/>
          <w:color w:val="1E3D21"/>
          <w:sz w:val="23"/>
        </w:rPr>
        <w:t>. Cualquier evento en el que un sistema de IA causa, o estuvo a punto de causar, un daño real: a personas, a la organización o al público.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Cuasi incidente (near miss)</w:t>
      </w:r>
      <w:r>
        <w:rPr>
          <w:rFonts w:ascii="Cairo" w:hAnsi="Cairo"/>
          <w:color w:val="1E3D21"/>
          <w:sz w:val="23"/>
        </w:rPr>
        <w:t>. Una advertencia que no llegó a crisis: el control funcionó o la suerte intervino. Se registra siempre; una organización sin cuasi incidentes no es segura, es ciega.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Inventario de sistemas de IA</w:t>
      </w:r>
      <w:r>
        <w:rPr>
          <w:rFonts w:ascii="Cairo" w:hAnsi="Cairo"/>
          <w:color w:val="1E3D21"/>
          <w:sz w:val="23"/>
        </w:rPr>
        <w:t>. La lista completa y viva de todos los sistemas de IA que la organización usa, compra o construye. La puerta de entrada de la gobernanza.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Comandante del incidente</w:t>
      </w:r>
      <w:r>
        <w:rPr>
          <w:rFonts w:ascii="Cairo" w:hAnsi="Cairo"/>
          <w:color w:val="1E3D21"/>
          <w:sz w:val="23"/>
        </w:rPr>
        <w:t>. La persona única que dirige la respuesta a un incidente. Dirige, no depura.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Madurez de gobernanza</w:t>
      </w:r>
      <w:r>
        <w:rPr>
          <w:rFonts w:ascii="Cairo" w:hAnsi="Cairo"/>
          <w:color w:val="1E3D21"/>
          <w:sz w:val="23"/>
        </w:rPr>
        <w:t>. El nivel de desarrollo de la práctica de gobernanza de una organización: de Ausente a Optimizada, en cinco niveles.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Mitigación</w:t>
      </w:r>
      <w:r>
        <w:rPr>
          <w:rFonts w:ascii="Cairo" w:hAnsi="Cairo"/>
          <w:color w:val="1E3D21"/>
          <w:sz w:val="23"/>
        </w:rPr>
        <w:t>. Las acciones que reducen el daño de un incidente y restauran la operación segura del sistema.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Monitoreo</w:t>
      </w:r>
      <w:r>
        <w:rPr>
          <w:rFonts w:ascii="Cairo" w:hAnsi="Cairo"/>
          <w:color w:val="1E3D21"/>
          <w:sz w:val="23"/>
        </w:rPr>
        <w:t>. La observación continua del comportamiento de un sistema en producción. La gobernanza que no se monitorea, muere.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Procedencia de los datos</w:t>
      </w:r>
      <w:r>
        <w:rPr>
          <w:rFonts w:ascii="Cairo" w:hAnsi="Cairo"/>
          <w:color w:val="1E3D21"/>
          <w:sz w:val="23"/>
        </w:rPr>
        <w:t>. El registro del origen, consentimiento y transformaciones de los datos usados por un sistema de IA.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Proveedor (vendor)</w:t>
      </w:r>
      <w:r>
        <w:rPr>
          <w:rFonts w:ascii="Cairo" w:hAnsi="Cairo"/>
          <w:color w:val="1E3D21"/>
          <w:sz w:val="23"/>
        </w:rPr>
        <w:t>. Un tercero que suministra sistemas o componentes de IA. La mayoría de las organizaciones compran su IA: gobernar lo comprado es tan crítico como gobernar lo construido.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Prueba adversarial (red team)</w:t>
      </w:r>
      <w:r>
        <w:rPr>
          <w:rFonts w:ascii="Cairo" w:hAnsi="Cairo"/>
          <w:color w:val="1E3D21"/>
          <w:sz w:val="23"/>
        </w:rPr>
        <w:t>. El intento deliberado y controlado de hacer fallar un sistema para descubrir sus debilidades antes que un atacante o el azar.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Puntuación de salud de gobernanza</w:t>
      </w:r>
      <w:r>
        <w:rPr>
          <w:rFonts w:ascii="Cairo" w:hAnsi="Cairo"/>
          <w:color w:val="1E3D21"/>
          <w:sz w:val="23"/>
        </w:rPr>
        <w:t>. La medida re-ejecutable (el AI Governance Health Score™) que indica si la gobernanza sigue viva después del proyecto: cobertura, control, documentación y monitoreo.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RACI</w:t>
      </w:r>
      <w:r>
        <w:rPr>
          <w:rFonts w:ascii="Cairo" w:hAnsi="Cairo"/>
          <w:color w:val="1E3D21"/>
          <w:sz w:val="23"/>
        </w:rPr>
        <w:t>. La matriz que asigna, para cada tarea, quién es Responsable, quién Aprueba, quién es Consultado y quién Informado. Una sola persona aprueba.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Registro de decisiones</w:t>
      </w:r>
      <w:r>
        <w:rPr>
          <w:rFonts w:ascii="Cairo" w:hAnsi="Cairo"/>
          <w:color w:val="1E3D21"/>
          <w:sz w:val="23"/>
        </w:rPr>
        <w:t>. La bitácora estructurada donde cada decisión significativa sobre IA queda documentada con su contexto y su autor.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Registro de riesgos</w:t>
      </w:r>
      <w:r>
        <w:rPr>
          <w:rFonts w:ascii="Cairo" w:hAnsi="Cairo"/>
          <w:color w:val="1E3D21"/>
          <w:sz w:val="23"/>
        </w:rPr>
        <w:t>. El documento vivo que lista los riesgos identificados, su probabilidad, su impacto y su responsable.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Reglamento de IA de la UE</w:t>
      </w:r>
      <w:r>
        <w:rPr>
          <w:rFonts w:ascii="Cairo" w:hAnsi="Cairo"/>
          <w:color w:val="1E3D21"/>
          <w:sz w:val="23"/>
        </w:rPr>
        <w:t>. El Reglamento (UE) 2024/1689, la primera ley integral de IA del mundo, con cuatro niveles de riesgo y multas de hasta 35 millones de euros o el 7 por ciento de la facturación mundial anual.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ISO/IEC 42001</w:t>
      </w:r>
      <w:r>
        <w:rPr>
          <w:rFonts w:ascii="Cairo" w:hAnsi="Cairo"/>
          <w:color w:val="1E3D21"/>
          <w:sz w:val="23"/>
        </w:rPr>
        <w:t>. La primera norma certificable de sistemas de gestión de IA del mundo, publicada en diciembre de 2023. La prueba de que la gobernanza existe.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NIST AI RMF</w:t>
      </w:r>
      <w:r>
        <w:rPr>
          <w:rFonts w:ascii="Cairo" w:hAnsi="Cairo"/>
          <w:color w:val="1E3D21"/>
          <w:sz w:val="23"/>
        </w:rPr>
        <w:t>. El marco de gestión de riesgos de IA del Instituto Nacional de Estándares y Tecnología de Estados Unidos: Gobernar, Mapear, Medir, Gestionar.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Supervisión humana</w:t>
      </w:r>
      <w:r>
        <w:rPr>
          <w:rFonts w:ascii="Cairo" w:hAnsi="Cairo"/>
          <w:color w:val="1E3D21"/>
          <w:sz w:val="23"/>
        </w:rPr>
        <w:t>. El requisito de que personas competentes puedan entender, intervenir y detener un sistema de IA de alto riesgo.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Transparencia</w:t>
      </w:r>
      <w:r>
        <w:rPr>
          <w:rFonts w:ascii="Cairo" w:hAnsi="Cairo"/>
          <w:color w:val="1E3D21"/>
          <w:sz w:val="23"/>
        </w:rPr>
        <w:t>. La obligación de informar a las personas cuando interactúan con una IA o son objeto de sus decisiones.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Trazabilidad</w:t>
      </w:r>
      <w:r>
        <w:rPr>
          <w:rFonts w:ascii="Cairo" w:hAnsi="Cairo"/>
          <w:color w:val="1E3D21"/>
          <w:sz w:val="23"/>
        </w:rPr>
        <w:t>. La capacidad de reconstruir el camino completo de una decisión de IA: datos, modelo, versión y contexto.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Autoridad de detención</w:t>
      </w:r>
      <w:r>
        <w:rPr>
          <w:rFonts w:ascii="Cairo" w:hAnsi="Cairo"/>
          <w:color w:val="1E3D21"/>
          <w:sz w:val="23"/>
        </w:rPr>
        <w:t>. El poder, preautorizado y con nombre, de detener un sistema de IA sin pedir permiso en el momento de la crisis.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Gravedad (G1, G2, G3)</w:t>
      </w:r>
      <w:r>
        <w:rPr>
          <w:rFonts w:ascii="Cairo" w:hAnsi="Cairo"/>
          <w:color w:val="1E3D21"/>
          <w:sz w:val="23"/>
        </w:rPr>
        <w:t>. La escala de clasificación de incidentes: G1 grave, G2 significativo, G3 menor. En caso de duda, se clasifica hacia arriba.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Ventana de exposición</w:t>
      </w:r>
      <w:r>
        <w:rPr>
          <w:rFonts w:ascii="Cairo" w:hAnsi="Cairo"/>
          <w:color w:val="1E3D21"/>
          <w:sz w:val="23"/>
        </w:rPr>
        <w:t>. El período real durante el cual un sistema causó daño: desde que empezó, no desde que se detectó.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Parte interesada (stakeholder)</w:t>
      </w:r>
      <w:r>
        <w:rPr>
          <w:rFonts w:ascii="Cairo" w:hAnsi="Cairo"/>
          <w:color w:val="1E3D21"/>
          <w:sz w:val="23"/>
        </w:rPr>
        <w:t>. Toda persona u organización afectada por un sistema de IA: usuarios, clientes, empleados, reguladores y el público.</w:t>
      </w:r>
    </w:p>
    <w:p>
      <w:pPr>
        <w:spacing w:after="120" w:line="336" w:lineRule="auto"/>
      </w:pPr>
      <w:r/>
      <w:r>
        <w:rPr>
          <w:rFonts w:ascii="Cairo" w:hAnsi="Cairo"/>
          <w:b/>
          <w:color w:val="48994E"/>
          <w:sz w:val="23"/>
        </w:rPr>
        <w:t>IA digna de confianza</w:t>
      </w:r>
      <w:r>
        <w:rPr>
          <w:rFonts w:ascii="Cairo" w:hAnsi="Cairo"/>
          <w:color w:val="1E3D21"/>
          <w:sz w:val="23"/>
        </w:rPr>
        <w:t>. IA que es lícita, ética y robusta a la vez, y que puede demostrarlo con evidencias. El objetivo de toda la cadena de gobernanza.</w:t>
      </w:r>
    </w:p>
    <w:p>
      <w:pPr>
        <w:spacing w:before="240" w:after="80"/>
      </w:pPr>
      <w:r>
        <w:rPr>
          <w:rFonts w:ascii="Bakbak One" w:hAnsi="Bakbak One"/>
          <w:b/>
          <w:color w:val="48994E"/>
          <w:sz w:val="27"/>
        </w:rPr>
        <w:t>El puente hacia la profundidad</w:t>
      </w:r>
    </w:p>
    <w:p>
      <w:pPr>
        <w:spacing w:after="120" w:line="336" w:lineRule="auto"/>
      </w:pPr>
      <w:r>
        <w:rPr>
          <w:rFonts w:ascii="Cairo" w:hAnsi="Cairo"/>
          <w:color w:val="1E3D21"/>
          <w:sz w:val="23"/>
        </w:rPr>
        <w:t>Este glosario es el QUÉ y el POR QUÉ, y es gratuito. El CÓMO (los instrumentos operativos que ponen estos términos a trabajar) vive en la capa de pago: los kits por pilar, los packs insignia y, cuando el riesgo lo exige, la Pre-Scale Governance Audit.</w:t>
      </w:r>
    </w:p>
    <w:p>
      <w:pPr>
        <w:pBdr>
          <w:bottom w:val="single" w:sz="6" w:space="1" w:color="BDE051"/>
        </w:pBdr>
        <w:spacing w:after="120"/>
      </w:pPr>
    </w:p>
    <w:p>
      <w:pPr>
        <w:spacing w:after="0"/>
      </w:pPr>
      <w:r>
        <w:rPr>
          <w:rFonts w:ascii="Bakbak One" w:hAnsi="Bakbak One"/>
          <w:b/>
          <w:color w:val="48994E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48994E"/>
          <w:sz w:val="19"/>
        </w:rPr>
        <w:t>Marco de gobernanza de la IA</w:t>
      </w:r>
    </w:p>
    <w:p>
      <w:pPr>
        <w:spacing w:after="0"/>
      </w:pPr>
      <w:r>
        <w:rPr>
          <w:rFonts w:ascii="Cairo" w:hAnsi="Cairo"/>
          <w:color w:val="48994E"/>
          <w:sz w:val="19"/>
        </w:rPr>
        <w:t>© 2026 Mathieu K. Gouanou. Todos los derechos reservados.</w:t>
      </w:r>
    </w:p>
    <w:p>
      <w:pPr>
        <w:spacing w:after="0"/>
      </w:pPr>
      <w:r>
        <w:rPr>
          <w:rFonts w:ascii="Cairo" w:hAnsi="Cairo"/>
          <w:color w:val="48994E"/>
          <w:sz w:val="19"/>
        </w:rPr>
        <w:t>Miembro del Consejo Asesor de Harvard Business Review.</w:t>
      </w:r>
    </w:p>
    <w:p>
      <w:pPr>
        <w:spacing w:after="0"/>
      </w:pPr>
      <w:r>
        <w:rPr>
          <w:rFonts w:ascii="Cairo" w:hAnsi="Cairo"/>
          <w:color w:val="48994E"/>
          <w:sz w:val="19"/>
        </w:rPr>
        <w:t>Norma del documento: gobernanza de la IA centrada en el ser humano.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9"/>
      </w:rPr>
      <w:fldChar w:fldCharType="begin"/>
      <w:instrText xml:space="preserve">PAGE</w:instrText>
      <w:fldChar w:fldCharType="end"/>
    </w:r>
    <w:r>
      <w:rPr>
        <w:rFonts w:ascii="Cairo" w:hAnsi="Cairo"/>
        <w:color w:val="48994E"/>
        <w:sz w:val="19"/>
      </w:rPr>
      <w:t>/</w:t>
    </w:r>
    <w:r>
      <w:rPr>
        <w:rFonts w:ascii="Cairo" w:hAnsi="Cairo"/>
        <w:color w:val="48994E"/>
        <w:sz w:val="19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