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rFonts w:ascii="Bakbak One" w:hAnsi="Bakbak One" w:eastAsia="Bakbak One"/>
          <w:b/>
          <w:color w:val="48994E"/>
          <w:sz w:val="42"/>
        </w:rPr>
        <w:t>La lista de preparación para el aseguramiento</w:t>
      </w:r>
    </w:p>
    <w:p>
      <w:pPr>
        <w:spacing w:after="60"/>
      </w:pPr>
      <w:r>
        <w:rPr>
          <w:rFonts w:ascii="Bakbak One" w:hAnsi="Bakbak One" w:eastAsia="Bakbak One"/>
          <w:b/>
          <w:color w:val="48994E"/>
          <w:sz w:val="27"/>
        </w:rPr>
        <w:t>Abreviaturas y acrónimos</w:t>
      </w:r>
    </w:p>
    <w:p>
      <w:pPr>
        <w:spacing w:after="60"/>
      </w:pPr>
      <w:r>
        <w:rPr>
          <w:rFonts w:ascii="Cairo" w:hAnsi="Cairo" w:eastAsia="Cairo"/>
          <w:b w:val="0"/>
          <w:color w:val="1E3D21"/>
          <w:sz w:val="23"/>
        </w:rPr>
        <w:t>Ningún conocimiento previo se da por supuesto. Los acrónimos de este documento:</w:t>
      </w:r>
    </w:p>
    <w:p>
      <w:pPr>
        <w:spacing w:after="40"/>
      </w:pPr>
      <w:r>
        <w:rPr>
          <w:rFonts w:ascii="Cairo" w:hAnsi="Cairo" w:eastAsia="Cairo"/>
          <w:b/>
          <w:color w:val="48994E"/>
          <w:sz w:val="23"/>
        </w:rPr>
        <w:t>IA</w:t>
      </w:r>
      <w:r>
        <w:rPr>
          <w:rFonts w:ascii="Cairo" w:hAnsi="Cairo" w:eastAsia="Cairo"/>
          <w:b w:val="0"/>
          <w:color w:val="1E3D21"/>
          <w:sz w:val="23"/>
        </w:rPr>
        <w:t xml:space="preserve"> : inteligencia artificial</w:t>
      </w:r>
    </w:p>
    <w:p>
      <w:pPr>
        <w:spacing w:after="40"/>
      </w:pPr>
      <w:r>
        <w:rPr>
          <w:rFonts w:ascii="Cairo" w:hAnsi="Cairo" w:eastAsia="Cairo"/>
          <w:b/>
          <w:color w:val="48994E"/>
          <w:sz w:val="23"/>
        </w:rPr>
        <w:t>ISO/IEC</w:t>
      </w:r>
      <w:r>
        <w:rPr>
          <w:rFonts w:ascii="Cairo" w:hAnsi="Cairo" w:eastAsia="Cairo"/>
          <w:b w:val="0"/>
          <w:color w:val="1E3D21"/>
          <w:sz w:val="23"/>
        </w:rPr>
        <w:t xml:space="preserve"> : Organización Internacional de Normalización / Comisión Electrotécnica Internacional</w:t>
      </w:r>
    </w:p>
    <w:p>
      <w:pPr>
        <w:spacing w:after="140" w:line="336" w:lineRule="auto"/>
        <w:jc w:val="left"/>
      </w:pPr>
      <w:r>
        <w:rPr>
          <w:rFonts w:ascii="Cairo" w:hAnsi="Cairo" w:eastAsia="Cairo"/>
          <w:b w:val="0"/>
          <w:color w:val="1E3D21"/>
          <w:sz w:val="23"/>
        </w:rPr>
        <w:t>¿Su gobernanza sobreviviría hoy a una auditoría independiente? Veinte verificaciones en cuatro secciones, dos puntos por sí. La gobernanza que no puede probarse no existe ante un auditor.</w:t>
      </w:r>
    </w:p>
    <w:p>
      <w:pPr>
        <w:spacing w:before="240" w:after="80"/>
      </w:pPr>
      <w:r>
        <w:rPr>
          <w:rFonts w:ascii="Bakbak One" w:hAnsi="Bakbak One" w:eastAsia="Bakbak One"/>
          <w:b/>
          <w:color w:val="48994E"/>
          <w:sz w:val="27"/>
        </w:rPr>
        <w:t>La evidencia existe (verificaciones 1 a 5)</w:t>
      </w:r>
    </w:p>
    <w:p>
      <w:pPr>
        <w:spacing w:after="140" w:line="336" w:lineRule="auto"/>
        <w:jc w:val="left"/>
      </w:pPr>
      <w:r>
        <w:rPr>
          <w:rFonts w:ascii="Cairo" w:hAnsi="Cairo" w:eastAsia="Cairo"/>
          <w:b w:val="0"/>
          <w:color w:val="1E3D21"/>
          <w:sz w:val="23"/>
        </w:rPr>
        <w:t>1. El inventario de sistemas de inteligencia artificial (IA) está escrito y completo. 2. Cada sistema de alto impacto tiene su clasificación de riesgo documentada. 3. Las políticas de IA existen como documentos, no como costumbres. 4. Las decisiones de despliegue dejaron rastro escrito. 5. Los incidentes y casi-incidentes están registrados.</w:t>
      </w:r>
    </w:p>
    <w:p>
      <w:pPr>
        <w:spacing w:before="240" w:after="80"/>
      </w:pPr>
      <w:r>
        <w:rPr>
          <w:rFonts w:ascii="Bakbak One" w:hAnsi="Bakbak One" w:eastAsia="Bakbak One"/>
          <w:b/>
          <w:color w:val="48994E"/>
          <w:sz w:val="27"/>
        </w:rPr>
        <w:t>La evidencia es independiente (verificaciones 6 a 10)</w:t>
      </w:r>
    </w:p>
    <w:p>
      <w:pPr>
        <w:spacing w:after="140" w:line="336" w:lineRule="auto"/>
        <w:jc w:val="left"/>
      </w:pPr>
      <w:r>
        <w:rPr>
          <w:rFonts w:ascii="Cairo" w:hAnsi="Cairo" w:eastAsia="Cairo"/>
          <w:b w:val="0"/>
          <w:color w:val="1E3D21"/>
          <w:sz w:val="23"/>
        </w:rPr>
        <w:t>6. Alguien distinto del equipo que construye revisa lo construido. 7. Las pruebas de sesgo y sicofancia las corre alguien sin interés en el resultado. 8. Los proveedores entregaron evidencia, no promesas. 9. Existe al menos una revisión externa o de segunda línea al año. 10. El comité de gobernanza incluye voces sin dependencia del proyecto.</w:t>
      </w:r>
    </w:p>
    <w:p>
      <w:pPr>
        <w:spacing w:before="240" w:after="80"/>
      </w:pPr>
      <w:r>
        <w:rPr>
          <w:rFonts w:ascii="Bakbak One" w:hAnsi="Bakbak One" w:eastAsia="Bakbak One"/>
          <w:b/>
          <w:color w:val="48994E"/>
          <w:sz w:val="27"/>
        </w:rPr>
        <w:t>La evidencia está al día (verificaciones 11 a 15)</w:t>
      </w:r>
    </w:p>
    <w:p>
      <w:pPr>
        <w:spacing w:after="140" w:line="336" w:lineRule="auto"/>
        <w:jc w:val="left"/>
      </w:pPr>
      <w:r>
        <w:rPr>
          <w:rFonts w:ascii="Cairo" w:hAnsi="Cairo" w:eastAsia="Cairo"/>
          <w:b w:val="0"/>
          <w:color w:val="1E3D21"/>
          <w:sz w:val="23"/>
        </w:rPr>
        <w:t>11. El inventario se actualizó en el último trimestre. 12. Las políticas reflejan la regulación vigente, no la del año pasado. 13. Los modelos re-entrenados fueron re-evaluados. 14. Los cambios de proveedor quedaron documentados. 15. El puntaje de salud tiene menos de noventa días.</w:t>
      </w:r>
    </w:p>
    <w:p>
      <w:pPr>
        <w:spacing w:before="240" w:after="80"/>
      </w:pPr>
      <w:r>
        <w:rPr>
          <w:rFonts w:ascii="Bakbak One" w:hAnsi="Bakbak One" w:eastAsia="Bakbak One"/>
          <w:b/>
          <w:color w:val="48994E"/>
          <w:sz w:val="27"/>
        </w:rPr>
        <w:t>La evidencia es utilizable (verificaciones 16 a 20)</w:t>
      </w:r>
    </w:p>
    <w:p>
      <w:pPr>
        <w:spacing w:after="140" w:line="336" w:lineRule="auto"/>
        <w:jc w:val="left"/>
      </w:pPr>
      <w:r>
        <w:rPr>
          <w:rFonts w:ascii="Cairo" w:hAnsi="Cairo" w:eastAsia="Cairo"/>
          <w:b w:val="0"/>
          <w:color w:val="1E3D21"/>
          <w:sz w:val="23"/>
        </w:rPr>
        <w:t>16. Un auditor la encontraría en horas, no en semanas. 17. Está en un lugar conocido, con dueño. 18. Los documentos tienen fecha y versión. 19. Alguien puede explicarla sin leerla en voz alta. 20. El directorio la ha visto resumida.</w:t>
      </w:r>
    </w:p>
    <w:p>
      <w:pPr>
        <w:spacing w:before="240" w:after="80"/>
      </w:pPr>
      <w:r>
        <w:rPr>
          <w:rFonts w:ascii="Bakbak One" w:hAnsi="Bakbak One" w:eastAsia="Bakbak One"/>
          <w:b/>
          <w:color w:val="48994E"/>
          <w:sz w:val="27"/>
        </w:rPr>
        <w:t>Cómo leer su puntaje</w:t>
      </w:r>
    </w:p>
    <w:p>
      <w:pPr>
        <w:spacing w:after="140" w:line="336" w:lineRule="auto"/>
        <w:jc w:val="left"/>
      </w:pPr>
      <w:r>
        <w:rPr>
          <w:rFonts w:ascii="Cairo" w:hAnsi="Cairo" w:eastAsia="Cairo"/>
          <w:b w:val="0"/>
          <w:color w:val="1E3D21"/>
          <w:sz w:val="23"/>
        </w:rPr>
        <w:t>De 30 a 40: lista para el aseguramiento; el siguiente paso natural es la preparación ISO/IEC 42001. De 16 a 28: gobernanza real pero improbable; ordene la evidencia antes de invitar a nadie. Menos de 16: la brecha no es de gobernanza sino de prueba, y ante un regulador es la misma cosa.</w:t>
      </w:r>
    </w:p>
    <w:p>
      <w:pPr>
        <w:spacing w:before="240" w:after="80"/>
      </w:pPr>
      <w:r>
        <w:rPr>
          <w:rFonts w:ascii="Bakbak One" w:hAnsi="Bakbak One" w:eastAsia="Bakbak One"/>
          <w:b/>
          <w:color w:val="48994E"/>
          <w:sz w:val="27"/>
        </w:rPr>
        <w:t>El puente hacia la profundidad</w:t>
      </w:r>
    </w:p>
    <w:p>
      <w:pPr>
        <w:spacing w:after="140" w:line="336" w:lineRule="auto"/>
        <w:jc w:val="left"/>
      </w:pPr>
      <w:r>
        <w:rPr>
          <w:rFonts w:ascii="Cairo" w:hAnsi="Cairo" w:eastAsia="Cairo"/>
          <w:b w:val="0"/>
          <w:color w:val="1E3D21"/>
          <w:sz w:val="23"/>
        </w:rPr>
        <w:t>Esta lista es gratuita. El AI Assurance and Audit Kit de la capa de pago construye el sistema de evidencia completo: el protocolo de autoevaluación, la plantilla de revisión independiente y el mapa de preparación para la certificación.</w:t>
      </w:r>
    </w:p>
    <w:p>
      <w:pPr>
        <w:pBdr>
          <w:bottom w:val="single" w:sz="6" w:space="1" w:color="BDE051"/>
        </w:pBdr>
        <w:spacing w:before="280" w:after="120"/>
      </w:pPr>
    </w:p>
    <w:p>
      <w:pPr>
        <w:spacing w:after="20"/>
      </w:pPr>
      <w:r>
        <w:rPr>
          <w:rFonts w:ascii="Bakbak One" w:hAnsi="Bakbak One" w:eastAsia="Bakbak One"/>
          <w:b/>
          <w:color w:val="48994E"/>
          <w:sz w:val="19"/>
        </w:rPr>
        <w:t>AI GOVERNANCE CHAIN™</w:t>
      </w:r>
    </w:p>
    <w:p>
      <w:pPr>
        <w:spacing w:after="20"/>
      </w:pPr>
      <w:r>
        <w:rPr>
          <w:rFonts w:ascii="Cairo" w:hAnsi="Cairo" w:eastAsia="Cairo"/>
          <w:b w:val="0"/>
          <w:color w:val="48994E"/>
          <w:sz w:val="19"/>
        </w:rPr>
        <w:t>Marco de gobernanza de la IA</w:t>
      </w:r>
    </w:p>
    <w:p>
      <w:pPr>
        <w:spacing w:after="20"/>
      </w:pPr>
      <w:r>
        <w:rPr>
          <w:rFonts w:ascii="Cairo" w:hAnsi="Cairo" w:eastAsia="Cairo"/>
          <w:b w:val="0"/>
          <w:color w:val="48994E"/>
          <w:sz w:val="19"/>
        </w:rPr>
        <w:t>© 2026 Mathieu K. Gouanou. Todos los derechos reservados.</w:t>
      </w:r>
    </w:p>
    <w:p>
      <w:pPr>
        <w:spacing w:after="20"/>
      </w:pPr>
      <w:r>
        <w:rPr>
          <w:rFonts w:ascii="Cairo" w:hAnsi="Cairo" w:eastAsia="Cairo"/>
          <w:b w:val="0"/>
          <w:color w:val="48994E"/>
          <w:sz w:val="19"/>
        </w:rPr>
        <w:t>Miembro del Consejo Asesor de Harvard Business Review.</w:t>
      </w:r>
    </w:p>
    <w:p>
      <w:pPr>
        <w:spacing w:after="20"/>
      </w:pPr>
      <w:r>
        <w:rPr>
          <w:rFonts w:ascii="Cairo" w:hAnsi="Cairo" w:eastAsia="Cairo"/>
          <w:b w:val="0"/>
          <w:color w:val="48994E"/>
          <w:sz w:val="19"/>
        </w:rPr>
        <w:t>Norma del documento: gobernanza de la IA centrada en el ser humano.</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9"/>
      </w:rPr>
      <w:fldChar w:fldCharType="begin"/>
      <w:instrText xml:space="preserve">PAGE</w:instrText>
      <w:fldChar w:fldCharType="end"/>
    </w:r>
    <w:r>
      <w:rPr>
        <w:rFonts w:ascii="Cairo" w:hAnsi="Cairo"/>
        <w:color w:val="48994E"/>
        <w:sz w:val="19"/>
      </w:rPr>
      <w:t>/</w:t>
    </w:r>
    <w:r>
      <w:rPr>
        <w:rFonts w:ascii="Cairo" w:hAnsi="Cairo"/>
        <w:color w:val="48994E"/>
        <w:sz w:val="19"/>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