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48994E"/>
          <w:sz w:val="42"/>
        </w:rPr>
        <w:t>El prisma de los derechos</w:t>
      </w:r>
    </w:p>
    <w:p>
      <w:pPr>
        <w:pBdr>
          <w:bottom w:val="single" w:sz="20" w:space="1" w:color="BDE051"/>
        </w:pBdr>
      </w:pPr>
    </w:p>
    <w:p>
      <w:pPr>
        <w:spacing w:before="240" w:after="80"/>
      </w:pPr>
      <w:r>
        <w:rPr>
          <w:rFonts w:ascii="Bakbak One" w:hAnsi="Bakbak One"/>
          <w:b/>
          <w:color w:val="48994E"/>
          <w:sz w:val="27"/>
        </w:rPr>
        <w:t>Abreviaturas y acrónimos</w:t>
      </w:r>
    </w:p>
    <w:p>
      <w:pPr>
        <w:spacing w:after="120" w:line="336" w:lineRule="auto"/>
      </w:pPr>
      <w:r>
        <w:rPr>
          <w:rFonts w:ascii="Cairo" w:hAnsi="Cairo"/>
          <w:color w:val="1E3D21"/>
          <w:sz w:val="23"/>
        </w:rPr>
        <w:t>Ningún conocimiento previo se da por supuesto. Los acrónimos de este documento:</w:t>
      </w:r>
    </w:p>
    <w:p>
      <w:pPr>
        <w:spacing w:after="120" w:line="336" w:lineRule="auto"/>
      </w:pPr>
      <w:r/>
      <w:r>
        <w:rPr>
          <w:rFonts w:ascii="Cairo" w:hAnsi="Cairo"/>
          <w:b/>
          <w:color w:val="48994E"/>
          <w:sz w:val="23"/>
        </w:rPr>
        <w:t>IA</w:t>
      </w:r>
      <w:r>
        <w:rPr>
          <w:rFonts w:ascii="Cairo" w:hAnsi="Cairo"/>
          <w:color w:val="1E3D21"/>
          <w:sz w:val="23"/>
        </w:rPr>
        <w:t>: inteligencia artificial</w:t>
      </w:r>
    </w:p>
    <w:p>
      <w:pPr>
        <w:spacing w:after="120" w:line="336" w:lineRule="auto"/>
      </w:pPr>
      <w:r>
        <w:rPr>
          <w:rFonts w:ascii="Cairo" w:hAnsi="Cairo"/>
          <w:color w:val="1E3D21"/>
          <w:sz w:val="23"/>
        </w:rPr>
        <w:t>Antes de preguntar si un sistema de IA es preciso, pregunte si es justo con las personas sobre las que decide. El prisma de los derechos es la mirada que los compradores del sector público y los reguladores exigen: cinco preguntas, aplicadas a cualquier sistema, en cualquier sector.</w:t>
      </w:r>
    </w:p>
    <w:p>
      <w:pPr>
        <w:spacing w:before="240" w:after="80"/>
      </w:pPr>
      <w:r>
        <w:rPr>
          <w:rFonts w:ascii="Bakbak One" w:hAnsi="Bakbak One"/>
          <w:b/>
          <w:color w:val="48994E"/>
          <w:sz w:val="27"/>
        </w:rPr>
        <w:t>Las cinco preguntas</w:t>
      </w:r>
    </w:p>
    <w:p>
      <w:pPr>
        <w:pStyle w:val="ListBullet"/>
        <w:spacing w:after="120" w:line="336" w:lineRule="auto"/>
      </w:pPr>
      <w:r/>
      <w:r>
        <w:rPr>
          <w:rFonts w:ascii="Cairo" w:hAnsi="Cairo"/>
          <w:b/>
          <w:color w:val="48994E"/>
          <w:sz w:val="23"/>
        </w:rPr>
        <w:t>Dignidad</w:t>
      </w:r>
      <w:r>
        <w:rPr>
          <w:rFonts w:ascii="Cairo" w:hAnsi="Cairo"/>
          <w:color w:val="1E3D21"/>
          <w:sz w:val="23"/>
        </w:rPr>
        <w:t>: ¿este sistema trata a las personas como personas, o como casos que procesar?</w:t>
      </w:r>
    </w:p>
    <w:p>
      <w:pPr>
        <w:pStyle w:val="ListBullet"/>
        <w:spacing w:after="120" w:line="336" w:lineRule="auto"/>
      </w:pPr>
      <w:r/>
      <w:r>
        <w:rPr>
          <w:rFonts w:ascii="Cairo" w:hAnsi="Cairo"/>
          <w:b/>
          <w:color w:val="48994E"/>
          <w:sz w:val="23"/>
        </w:rPr>
        <w:t>Autonomía</w:t>
      </w:r>
      <w:r>
        <w:rPr>
          <w:rFonts w:ascii="Cairo" w:hAnsi="Cairo"/>
          <w:color w:val="1E3D21"/>
          <w:sz w:val="23"/>
        </w:rPr>
        <w:t>: ¿las personas conservan una elección real, o el sistema decide por ellas sin salida?</w:t>
      </w:r>
    </w:p>
    <w:p>
      <w:pPr>
        <w:pStyle w:val="ListBullet"/>
        <w:spacing w:after="120" w:line="336" w:lineRule="auto"/>
      </w:pPr>
      <w:r/>
      <w:r>
        <w:rPr>
          <w:rFonts w:ascii="Cairo" w:hAnsi="Cairo"/>
          <w:b/>
          <w:color w:val="48994E"/>
          <w:sz w:val="23"/>
        </w:rPr>
        <w:t>Igualdad</w:t>
      </w:r>
      <w:r>
        <w:rPr>
          <w:rFonts w:ascii="Cairo" w:hAnsi="Cairo"/>
          <w:color w:val="1E3D21"/>
          <w:sz w:val="23"/>
        </w:rPr>
        <w:t>: ¿algún grupo recibe resultados sistemáticamente peores?</w:t>
      </w:r>
    </w:p>
    <w:p>
      <w:pPr>
        <w:pStyle w:val="ListBullet"/>
        <w:spacing w:after="120" w:line="336" w:lineRule="auto"/>
      </w:pPr>
      <w:r/>
      <w:r>
        <w:rPr>
          <w:rFonts w:ascii="Cairo" w:hAnsi="Cairo"/>
          <w:b/>
          <w:color w:val="48994E"/>
          <w:sz w:val="23"/>
        </w:rPr>
        <w:t>Debido proceso</w:t>
      </w:r>
      <w:r>
        <w:rPr>
          <w:rFonts w:ascii="Cairo" w:hAnsi="Cairo"/>
          <w:color w:val="1E3D21"/>
          <w:sz w:val="23"/>
        </w:rPr>
        <w:t>: ¿una persona afectada puede entender la decisión, cuestionarla y obtener una revisión humana?</w:t>
      </w:r>
    </w:p>
    <w:p>
      <w:pPr>
        <w:pStyle w:val="ListBullet"/>
        <w:spacing w:after="120" w:line="336" w:lineRule="auto"/>
      </w:pPr>
      <w:r/>
      <w:r>
        <w:rPr>
          <w:rFonts w:ascii="Cairo" w:hAnsi="Cairo"/>
          <w:b/>
          <w:color w:val="48994E"/>
          <w:sz w:val="23"/>
        </w:rPr>
        <w:t>Reparación</w:t>
      </w:r>
      <w:r>
        <w:rPr>
          <w:rFonts w:ascii="Cairo" w:hAnsi="Cairo"/>
          <w:color w:val="1E3D21"/>
          <w:sz w:val="23"/>
        </w:rPr>
        <w:t>: cuando el sistema se equivoca, ¿existe un camino real para corregir el daño?</w:t>
      </w:r>
    </w:p>
    <w:p>
      <w:pPr>
        <w:spacing w:before="240" w:after="80"/>
      </w:pPr>
      <w:r>
        <w:rPr>
          <w:rFonts w:ascii="Bakbak One" w:hAnsi="Bakbak One"/>
          <w:b/>
          <w:color w:val="48994E"/>
          <w:sz w:val="27"/>
        </w:rPr>
        <w:t>Cómo aplicarlo</w:t>
      </w:r>
    </w:p>
    <w:p>
      <w:pPr>
        <w:spacing w:after="120" w:line="336" w:lineRule="auto"/>
      </w:pPr>
      <w:r>
        <w:rPr>
          <w:rFonts w:ascii="Cairo" w:hAnsi="Cairo"/>
          <w:color w:val="1E3D21"/>
          <w:sz w:val="23"/>
        </w:rPr>
        <w:t>Pase cada sistema de alto impacto por las cinco preguntas, con evidencias y no con intenciones. Una sola respuesta negativa marca el sistema para revisión antes de escalar. Documente el resultado: el prisma sin registro es una opinión, no una evaluación.</w:t>
      </w:r>
    </w:p>
    <w:p>
      <w:pPr>
        <w:spacing w:before="240" w:after="80"/>
      </w:pPr>
      <w:r>
        <w:rPr>
          <w:rFonts w:ascii="Bakbak One" w:hAnsi="Bakbak One"/>
          <w:b/>
          <w:color w:val="48994E"/>
          <w:sz w:val="27"/>
        </w:rPr>
        <w:t>Un caso anónimo</w:t>
      </w:r>
    </w:p>
    <w:p>
      <w:pPr>
        <w:spacing w:after="120" w:line="336" w:lineRule="auto"/>
      </w:pPr>
      <w:r>
        <w:rPr>
          <w:rFonts w:ascii="Cairo" w:hAnsi="Cairo"/>
          <w:color w:val="1E3D21"/>
          <w:sz w:val="23"/>
        </w:rPr>
        <w:t>Un organismo público de tamaño medio aplicó el prisma a su sistema de asignación de beneficios y descubrió que la pregunta cuatro no tenía respuesta: no existía ninguna vía para que un ciudadano cuestionara la decisión. La vía de apelación se creó antes del despliegue. El costo fue una semana; el litigio evitado, incalculable.</w:t>
      </w:r>
    </w:p>
    <w:p>
      <w:pPr>
        <w:spacing w:before="240" w:after="80"/>
      </w:pPr>
      <w:r>
        <w:rPr>
          <w:rFonts w:ascii="Bakbak One" w:hAnsi="Bakbak One"/>
          <w:b/>
          <w:color w:val="48994E"/>
          <w:sz w:val="27"/>
        </w:rPr>
        <w:t>El puente hacia la profundidad</w:t>
      </w:r>
    </w:p>
    <w:p>
      <w:pPr>
        <w:spacing w:after="120" w:line="336" w:lineRule="auto"/>
      </w:pPr>
      <w:r>
        <w:rPr>
          <w:rFonts w:ascii="Cairo" w:hAnsi="Cairo"/>
          <w:color w:val="1E3D21"/>
          <w:sz w:val="23"/>
        </w:rPr>
        <w:t>Este prisma es el QUÉ y el POR QUÉ, y es gratuito. El CÓMO (la evaluación completa de impacto en derechos humanos, las plantillas y el plan de mitigación) vive en la capa de pago: el AI and Human Rights Impact Kit y, cuando el riesgo lo exige, la Pre-Scale Governance Audit.</w:t>
      </w:r>
    </w:p>
    <w:p>
      <w:pPr>
        <w:pBdr>
          <w:bottom w:val="single" w:sz="6" w:space="1" w:color="BDE051"/>
        </w:pBdr>
        <w:spacing w:after="120"/>
      </w:pPr>
    </w:p>
    <w:p>
      <w:pPr>
        <w:spacing w:after="0"/>
      </w:pPr>
      <w:r>
        <w:rPr>
          <w:rFonts w:ascii="Bakbak One" w:hAnsi="Bakbak One"/>
          <w:b/>
          <w:color w:val="48994E"/>
          <w:sz w:val="19"/>
        </w:rPr>
        <w:t>AI GOVERNANCE CHAIN™</w:t>
      </w:r>
    </w:p>
    <w:p>
      <w:pPr>
        <w:spacing w:after="0"/>
      </w:pPr>
      <w:r>
        <w:rPr>
          <w:rFonts w:ascii="Cairo" w:hAnsi="Cairo"/>
          <w:color w:val="48994E"/>
          <w:sz w:val="19"/>
        </w:rPr>
        <w:t>Marco de gobernanza de la IA</w:t>
      </w:r>
    </w:p>
    <w:p>
      <w:pPr>
        <w:spacing w:after="0"/>
      </w:pPr>
      <w:r>
        <w:rPr>
          <w:rFonts w:ascii="Cairo" w:hAnsi="Cairo"/>
          <w:color w:val="48994E"/>
          <w:sz w:val="19"/>
        </w:rPr>
        <w:t>© 2026 Mathieu K. Gouanou. Todos los derechos reservados.</w:t>
      </w:r>
    </w:p>
    <w:p>
      <w:pPr>
        <w:spacing w:after="0"/>
      </w:pPr>
      <w:r>
        <w:rPr>
          <w:rFonts w:ascii="Cairo" w:hAnsi="Cairo"/>
          <w:color w:val="48994E"/>
          <w:sz w:val="19"/>
        </w:rPr>
        <w:t>Miembro del Consejo Asesor de Harvard Business Review.</w:t>
      </w:r>
    </w:p>
    <w:p>
      <w:pPr>
        <w:spacing w:after="0"/>
      </w:pPr>
      <w:r>
        <w:rPr>
          <w:rFonts w:ascii="Cairo" w:hAnsi="Cairo"/>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