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Bakbak One" w:hAnsi="Bakbak One" w:eastAsia="Bakbak One"/>
          <w:b/>
          <w:color w:val="48994E"/>
          <w:sz w:val="42"/>
        </w:rPr>
        <w:t>La regulación de un vistazo</w:t>
      </w:r>
    </w:p>
    <w:p>
      <w:pPr>
        <w:spacing w:after="60"/>
      </w:pPr>
      <w:r>
        <w:rPr>
          <w:rFonts w:ascii="Bakbak One" w:hAnsi="Bakbak One" w:eastAsia="Bakbak One"/>
          <w:b/>
          <w:color w:val="48994E"/>
          <w:sz w:val="27"/>
        </w:rPr>
        <w:t>Abreviaturas y acrónimos</w:t>
      </w:r>
    </w:p>
    <w:p>
      <w:pPr>
        <w:spacing w:after="60"/>
      </w:pPr>
      <w:r>
        <w:rPr>
          <w:rFonts w:ascii="Cairo" w:hAnsi="Cairo" w:eastAsia="Cairo"/>
          <w:b w:val="0"/>
          <w:color w:val="1E3D21"/>
          <w:sz w:val="23"/>
        </w:rPr>
        <w:t>Ningún conocimiento previo se da por supuesto. Los acrónimos de este documento: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IA</w:t>
      </w:r>
      <w:r>
        <w:rPr>
          <w:rFonts w:ascii="Cairo" w:hAnsi="Cairo" w:eastAsia="Cairo"/>
          <w:b w:val="0"/>
          <w:color w:val="1E3D21"/>
          <w:sz w:val="23"/>
        </w:rPr>
        <w:t xml:space="preserve"> : inteligencia artificial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UE</w:t>
      </w:r>
      <w:r>
        <w:rPr>
          <w:rFonts w:ascii="Cairo" w:hAnsi="Cairo" w:eastAsia="Cairo"/>
          <w:b w:val="0"/>
          <w:color w:val="1E3D21"/>
          <w:sz w:val="23"/>
        </w:rPr>
        <w:t xml:space="preserve"> : Unión Europea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ISO/IEC</w:t>
      </w:r>
      <w:r>
        <w:rPr>
          <w:rFonts w:ascii="Cairo" w:hAnsi="Cairo" w:eastAsia="Cairo"/>
          <w:b w:val="0"/>
          <w:color w:val="1E3D21"/>
          <w:sz w:val="23"/>
        </w:rPr>
        <w:t xml:space="preserve"> : Organización Internacional de Normalización / Comisión Electrotécnica Internacional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NIST</w:t>
      </w:r>
      <w:r>
        <w:rPr>
          <w:rFonts w:ascii="Cairo" w:hAnsi="Cairo" w:eastAsia="Cairo"/>
          <w:b w:val="0"/>
          <w:color w:val="1E3D21"/>
          <w:sz w:val="23"/>
        </w:rPr>
        <w:t xml:space="preserve"> : Instituto Nacional de Estándares y Tecnología de los Estados Unidos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AI RMF</w:t>
      </w:r>
      <w:r>
        <w:rPr>
          <w:rFonts w:ascii="Cairo" w:hAnsi="Cairo" w:eastAsia="Cairo"/>
          <w:b w:val="0"/>
          <w:color w:val="1E3D21"/>
          <w:sz w:val="23"/>
        </w:rPr>
        <w:t xml:space="preserve"> : Marco de Gestión de Riesgos de IA (AI Risk Management Framework)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Tres instrumentos dominan la gobernanza de la inteligencia artificial (IA) en el mundo. La distinción que ordena todo: la ley le dice qué debe hacer. La norma le permite probar que lo hace. El marco le da un método.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Reglamento de IA de la UE: la ley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El Reglamento (UE) 2024/1689 clasifica los sistemas de IA en cuatro niveles: riesgo inaceptable (prohibido), alto riesgo (obligaciones estrictas de documentación, supervisión humana y gestión de riesgos), riesgo limitado (transparencia) y riesgo mínimo. Las multas alcanzan los 35 millones de euros o el 7 por ciento de la facturación mundial anual. Sus obligaciones entran en vigor por fases en fechas ya publicadas, y su efecto se extiende más allá de Europa, como ocurrió con la protección de datos.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ISO/IEC 42001: la norma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Publicada en diciembre de 2023, es la primera norma certificable de sistemas de gestión de IA. Define lo que un auditor independiente puede verificar: políticas, controles, roles, mejora continua. La certificación toma trimestres, no semanas; quien la busca empieza por la preparación documental.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NIST AI RMF: el método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El marco estadounidense organiza el trabajo en cuatro funciones: gobernar, mapear, medir y gestionar. No es ley ni certificación: es la gramática operativa que conecta a los equipos técnicos con el cumplimiento.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Cómo se combinan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Una organización seria usa los tres: el Reglamento define la obligación, ISO/IEC 42001 produce la prueba y el NIST AI RMF da la rutina diaria. Un esfuerzo bien diseñado alimenta a los tres a la vez.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puente hacia la profundidad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Esta carta es el mapa gratuito. Los paquetes de pago (EU AI Act Compliance Pack, ISO 42001 Certification Toolkit y el crosswalk regulación a acción) convierten cada obligación en documentos listos para trabajar.</w:t>
      </w:r>
    </w:p>
    <w:p>
      <w:pPr>
        <w:pBdr>
          <w:bottom w:val="single" w:sz="6" w:space="1" w:color="BDE051"/>
        </w:pBdr>
        <w:spacing w:before="280" w:after="120"/>
      </w:pPr>
    </w:p>
    <w:p>
      <w:pPr>
        <w:spacing w:after="20"/>
      </w:pPr>
      <w:r>
        <w:rPr>
          <w:rFonts w:ascii="Bakbak One" w:hAnsi="Bakbak One" w:eastAsia="Bakbak One"/>
          <w:b/>
          <w:color w:val="48994E"/>
          <w:sz w:val="19"/>
        </w:rPr>
        <w:t>AI GOVERNANCE CHAIN™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Marco de gobernanza de la IA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© 2026 Mathieu K. Gouanou. Todos los derechos reservados.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Miembro del Consejo Asesor de Harvard Business Review.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