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Bakbak One" w:hAnsi="Bakbak One" w:eastAsia="Bakbak One"/>
          <w:b/>
          <w:color w:val="48994E"/>
          <w:sz w:val="42"/>
        </w:rPr>
        <w:t>El runbook de la primera hora ante un incidente de IA</w:t>
      </w:r>
    </w:p>
    <w:p>
      <w:pPr>
        <w:spacing w:after="60"/>
      </w:pPr>
      <w:r>
        <w:rPr>
          <w:rFonts w:ascii="Bakbak One" w:hAnsi="Bakbak One" w:eastAsia="Bakbak One"/>
          <w:b/>
          <w:color w:val="48994E"/>
          <w:sz w:val="27"/>
        </w:rPr>
        <w:t>Abreviaturas y acrónimos</w:t>
      </w:r>
    </w:p>
    <w:p>
      <w:pPr>
        <w:spacing w:after="60"/>
      </w:pPr>
      <w:r>
        <w:rPr>
          <w:rFonts w:ascii="Cairo" w:hAnsi="Cairo" w:eastAsia="Cairo"/>
          <w:b w:val="0"/>
          <w:color w:val="1E3D21"/>
          <w:sz w:val="23"/>
        </w:rPr>
        <w:t>Ningún conocimiento previo se da por supuesto. Los acrónimos de este documento:</w:t>
      </w:r>
    </w:p>
    <w:p>
      <w:pPr>
        <w:spacing w:after="40"/>
      </w:pPr>
      <w:r>
        <w:rPr>
          <w:rFonts w:ascii="Cairo" w:hAnsi="Cairo" w:eastAsia="Cairo"/>
          <w:b/>
          <w:color w:val="48994E"/>
          <w:sz w:val="23"/>
        </w:rPr>
        <w:t>IA</w:t>
      </w:r>
      <w:r>
        <w:rPr>
          <w:rFonts w:ascii="Cairo" w:hAnsi="Cairo" w:eastAsia="Cairo"/>
          <w:b w:val="0"/>
          <w:color w:val="1E3D21"/>
          <w:sz w:val="23"/>
        </w:rPr>
        <w:t xml:space="preserve"> : inteligencia artificial</w:t>
      </w:r>
    </w:p>
    <w:p>
      <w:pPr>
        <w:spacing w:after="140" w:line="336" w:lineRule="auto"/>
        <w:jc w:val="left"/>
      </w:pPr>
      <w:r>
        <w:rPr>
          <w:rFonts w:ascii="Cairo" w:hAnsi="Cairo" w:eastAsia="Cairo"/>
          <w:b w:val="0"/>
          <w:color w:val="1E3D21"/>
          <w:sz w:val="23"/>
        </w:rPr>
        <w:t>Cuando un sistema de inteligencia artificial (IA) falla en producción, la primera hora decide el resultado. La regla que gobierna todo lo demás: contenga antes de explicar. Estos son los cinco bloques cronometrados.</w:t>
      </w:r>
    </w:p>
    <w:p>
      <w:pPr>
        <w:spacing w:before="240" w:after="80"/>
      </w:pPr>
      <w:r>
        <w:rPr>
          <w:rFonts w:ascii="Bakbak One" w:hAnsi="Bakbak One" w:eastAsia="Bakbak One"/>
          <w:b/>
          <w:color w:val="48994E"/>
          <w:sz w:val="27"/>
        </w:rPr>
        <w:t>Minutos 0 a 10: active y nombre al comandante</w:t>
      </w:r>
    </w:p>
    <w:p>
      <w:pPr>
        <w:spacing w:after="140" w:line="336" w:lineRule="auto"/>
        <w:jc w:val="left"/>
      </w:pPr>
      <w:r>
        <w:rPr>
          <w:rFonts w:ascii="Cairo" w:hAnsi="Cairo" w:eastAsia="Cairo"/>
          <w:b w:val="0"/>
          <w:color w:val="1E3D21"/>
          <w:sz w:val="23"/>
        </w:rPr>
        <w:t>Cualquier persona puede activar la respuesta. Nombre de inmediato a un comandante de incidente: una sola persona que dirige la respuesta y no depura el sistema. Abra el reloj y registre la hora exacta.</w:t>
      </w:r>
    </w:p>
    <w:p>
      <w:pPr>
        <w:spacing w:before="240" w:after="80"/>
      </w:pPr>
      <w:r>
        <w:rPr>
          <w:rFonts w:ascii="Bakbak One" w:hAnsi="Bakbak One" w:eastAsia="Bakbak One"/>
          <w:b/>
          <w:color w:val="48994E"/>
          <w:sz w:val="27"/>
        </w:rPr>
        <w:t>Minutos 10 a 25: contenga</w:t>
      </w:r>
    </w:p>
    <w:p>
      <w:pPr>
        <w:spacing w:after="140" w:line="336" w:lineRule="auto"/>
        <w:jc w:val="left"/>
      </w:pPr>
      <w:r>
        <w:rPr>
          <w:rFonts w:ascii="Cairo" w:hAnsi="Cairo" w:eastAsia="Cairo"/>
          <w:b w:val="0"/>
          <w:color w:val="1E3D21"/>
          <w:sz w:val="23"/>
        </w:rPr>
        <w:t>Decida entre tres acciones: detener el sistema, restringir su alcance o vigilarlo de cerca. Ante la duda, suba de grado: es reversible detener de más; no lo es explicar de menos. La contención primero, las explicaciones después.</w:t>
      </w:r>
    </w:p>
    <w:p>
      <w:pPr>
        <w:spacing w:before="240" w:after="80"/>
      </w:pPr>
      <w:r>
        <w:rPr>
          <w:rFonts w:ascii="Bakbak One" w:hAnsi="Bakbak One" w:eastAsia="Bakbak One"/>
          <w:b/>
          <w:color w:val="48994E"/>
          <w:sz w:val="27"/>
        </w:rPr>
        <w:t>Minutos 25 a 40: dimensione el alcance</w:t>
      </w:r>
    </w:p>
    <w:p>
      <w:pPr>
        <w:spacing w:after="140" w:line="336" w:lineRule="auto"/>
        <w:jc w:val="left"/>
      </w:pPr>
      <w:r>
        <w:rPr>
          <w:rFonts w:ascii="Cairo" w:hAnsi="Cairo" w:eastAsia="Cairo"/>
          <w:b w:val="0"/>
          <w:color w:val="1E3D21"/>
          <w:sz w:val="23"/>
        </w:rPr>
        <w:t>¿Desde cuándo falla? ¿A cuántas personas o decisiones tocó? La alerta le dice cuándo usted lo notó, no cuándo empezó. Fije una frontera de tiempo y una frontera de alcance, aunque sean provisionales.</w:t>
      </w:r>
    </w:p>
    <w:p>
      <w:pPr>
        <w:spacing w:before="240" w:after="80"/>
      </w:pPr>
      <w:r>
        <w:rPr>
          <w:rFonts w:ascii="Bakbak One" w:hAnsi="Bakbak One" w:eastAsia="Bakbak One"/>
          <w:b/>
          <w:color w:val="48994E"/>
          <w:sz w:val="27"/>
        </w:rPr>
        <w:t>Minutos 40 a 50: preserve la evidencia</w:t>
      </w:r>
    </w:p>
    <w:p>
      <w:pPr>
        <w:spacing w:after="140" w:line="336" w:lineRule="auto"/>
        <w:jc w:val="left"/>
      </w:pPr>
      <w:r>
        <w:rPr>
          <w:rFonts w:ascii="Cairo" w:hAnsi="Cairo" w:eastAsia="Cairo"/>
          <w:b w:val="0"/>
          <w:color w:val="1E3D21"/>
          <w:sz w:val="23"/>
        </w:rPr>
        <w:t>Congele los registros, las versiones del modelo y los datos de entrada antes de cualquier arreglo. El error más caro de la primera hora es destruir la evidencia en la prisa por reparar. La investigación de mañana gasta la evidencia que usted preserva hoy.</w:t>
      </w:r>
    </w:p>
    <w:p>
      <w:pPr>
        <w:spacing w:before="240" w:after="80"/>
      </w:pPr>
      <w:r>
        <w:rPr>
          <w:rFonts w:ascii="Bakbak One" w:hAnsi="Bakbak One" w:eastAsia="Bakbak One"/>
          <w:b/>
          <w:color w:val="48994E"/>
          <w:sz w:val="27"/>
        </w:rPr>
        <w:t>Minutos 50 a 60: estabilice y decida</w:t>
      </w:r>
    </w:p>
    <w:p>
      <w:pPr>
        <w:spacing w:after="140" w:line="336" w:lineRule="auto"/>
        <w:jc w:val="left"/>
      </w:pPr>
      <w:r>
        <w:rPr>
          <w:rFonts w:ascii="Cairo" w:hAnsi="Cairo" w:eastAsia="Cairo"/>
          <w:b w:val="0"/>
          <w:color w:val="1E3D21"/>
          <w:sz w:val="23"/>
        </w:rPr>
        <w:t>Confirme que la contención sostiene. Comunique un mensaje interno de una línea: qué pasó, qué se contuvo, quién comanda. Decida el pase a investigación. La primera hora termina con cuatro frases escritas, no con un misterio.</w:t>
      </w:r>
    </w:p>
    <w:p>
      <w:pPr>
        <w:spacing w:before="240" w:after="80"/>
      </w:pPr>
      <w:r>
        <w:rPr>
          <w:rFonts w:ascii="Bakbak One" w:hAnsi="Bakbak One" w:eastAsia="Bakbak One"/>
          <w:b/>
          <w:color w:val="48994E"/>
          <w:sz w:val="27"/>
        </w:rPr>
        <w:t>El puente hacia la profundidad</w:t>
      </w:r>
    </w:p>
    <w:p>
      <w:pPr>
        <w:spacing w:after="140" w:line="336" w:lineRule="auto"/>
        <w:jc w:val="left"/>
      </w:pPr>
      <w:r>
        <w:rPr>
          <w:rFonts w:ascii="Cairo" w:hAnsi="Cairo" w:eastAsia="Cairo"/>
          <w:b w:val="0"/>
          <w:color w:val="1E3D21"/>
          <w:sz w:val="23"/>
        </w:rPr>
        <w:t>Este runbook gratuito es la versión de bolsillo. El marco completo (la escala de severidad, los playbooks especializados, los simulacros y el paquete para el directorio) es el AI Governance Emergency Response Framework (AI-ERF)™, disponible con su AI-ERF™ Implementation Pack en la capa de pago.</w:t>
      </w:r>
    </w:p>
    <w:p>
      <w:pPr>
        <w:pBdr>
          <w:bottom w:val="single" w:sz="6" w:space="1" w:color="BDE051"/>
        </w:pBdr>
        <w:spacing w:before="280" w:after="120"/>
      </w:pPr>
    </w:p>
    <w:p>
      <w:pPr>
        <w:spacing w:after="20"/>
      </w:pPr>
      <w:r>
        <w:rPr>
          <w:rFonts w:ascii="Bakbak One" w:hAnsi="Bakbak One" w:eastAsia="Bakbak One"/>
          <w:b/>
          <w:color w:val="48994E"/>
          <w:sz w:val="19"/>
        </w:rPr>
        <w:t>AI GOVERNANCE CHAIN™</w:t>
      </w:r>
    </w:p>
    <w:p>
      <w:pPr>
        <w:spacing w:after="20"/>
      </w:pPr>
      <w:r>
        <w:rPr>
          <w:rFonts w:ascii="Cairo" w:hAnsi="Cairo" w:eastAsia="Cairo"/>
          <w:b w:val="0"/>
          <w:color w:val="48994E"/>
          <w:sz w:val="19"/>
        </w:rPr>
        <w:t>Marco de gobernanza de la IA</w:t>
      </w:r>
    </w:p>
    <w:p>
      <w:pPr>
        <w:spacing w:after="20"/>
      </w:pPr>
      <w:r>
        <w:rPr>
          <w:rFonts w:ascii="Cairo" w:hAnsi="Cairo" w:eastAsia="Cairo"/>
          <w:b w:val="0"/>
          <w:color w:val="48994E"/>
          <w:sz w:val="19"/>
        </w:rPr>
        <w:t>© 2026 Mathieu K. Gouanou. Todos los derechos reservados.</w:t>
      </w:r>
    </w:p>
    <w:p>
      <w:pPr>
        <w:spacing w:after="20"/>
      </w:pPr>
      <w:r>
        <w:rPr>
          <w:rFonts w:ascii="Cairo" w:hAnsi="Cairo" w:eastAsia="Cairo"/>
          <w:b w:val="0"/>
          <w:color w:val="48994E"/>
          <w:sz w:val="19"/>
        </w:rPr>
        <w:t>Miembro del Consejo Asesor de Harvard Business Review.</w:t>
      </w:r>
    </w:p>
    <w:p>
      <w:pPr>
        <w:spacing w:after="20"/>
      </w:pPr>
      <w:r>
        <w:rPr>
          <w:rFonts w:ascii="Cairo" w:hAnsi="Cairo" w:eastAsia="Cairo"/>
          <w:b w:val="0"/>
          <w:color w:val="48994E"/>
          <w:sz w:val="19"/>
        </w:rPr>
        <w:t>Norma del documento: gobernanza de la IA centrada en el ser humano.</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9"/>
      </w:rPr>
      <w:fldChar w:fldCharType="begin"/>
      <w:instrText xml:space="preserve">PAGE</w:instrText>
      <w:fldChar w:fldCharType="end"/>
    </w:r>
    <w:r>
      <w:rPr>
        <w:rFonts w:ascii="Cairo" w:hAnsi="Cairo"/>
        <w:color w:val="48994E"/>
        <w:sz w:val="19"/>
      </w:rPr>
      <w:t>/</w:t>
    </w:r>
    <w:r>
      <w:rPr>
        <w:rFonts w:ascii="Cairo" w:hAnsi="Cairo"/>
        <w:color w:val="48994E"/>
        <w:sz w:val="19"/>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