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b/>
          <w:color w:val="1E3D21"/>
          <w:sz w:val="40"/>
        </w:rPr>
        <w:t>L'autoévaluation de l'éthique de l'IA</w:t>
      </w:r>
    </w:p>
    <w:p>
      <w:pPr>
        <w:spacing w:line="336" w:lineRule="auto"/>
        <w:jc w:val="left"/>
      </w:pPr>
      <w:r>
        <w:rPr>
          <w:rFonts w:ascii="Cairo" w:hAnsi="Cairo"/>
          <w:color w:val="1E3D21"/>
          <w:sz w:val="23"/>
        </w:rPr>
        <w:t>Un instrument gratuit de AI GOVERNANCE CHAIN™</w:t>
      </w:r>
    </w:p>
    <w:p>
      <w:pPr>
        <w:spacing w:line="336" w:lineRule="auto"/>
        <w:jc w:val="left"/>
      </w:pPr>
      <w:r>
        <w:rPr>
          <w:rFonts w:ascii="Cairo" w:hAnsi="Cairo"/>
          <w:color w:val="1E3D21"/>
          <w:sz w:val="23"/>
        </w:rPr>
        <w:t>La plupart des organisations savent énoncer leurs principes d'éthique de l'IA. Beaucoup moins savent prouver qu'ils sont pratiqués. Cette autoévaluation comble cet écart en vingt minutes. Elle pose les questions qu'un comité d'éthique, un régulateur ou un journaliste poserait, et elle vous dit honnêtement où vous en êtes, avant que quelqu'un d'autre ne le décide à votre place.</w:t>
      </w:r>
    </w:p>
    <w:p>
      <w:pPr>
        <w:spacing w:line="336" w:lineRule="auto"/>
        <w:jc w:val="left"/>
      </w:pPr>
      <w:r>
        <w:rPr>
          <w:rFonts w:ascii="Cairo" w:hAnsi="Cairo"/>
          <w:color w:val="1E3D21"/>
          <w:sz w:val="23"/>
        </w:rPr>
        <w:t>Ceci est le QUOI et le POURQUOI gratuits. Le kit payant AI Ethics Operating Kit vous donne le COMMENT : les chartes, les modèles et la mécanique de revue qui transforment les réponses en pratique.</w:t>
      </w:r>
    </w:p>
    <w:p>
      <w:pPr>
        <w:spacing w:before="200" w:after="60"/>
      </w:pPr>
      <w:r>
        <w:rPr>
          <w:rFonts w:ascii="Bakbak One" w:hAnsi="Bakbak One"/>
          <w:b/>
          <w:color w:val="48994E"/>
          <w:sz w:val="27"/>
        </w:rPr>
        <w:t>Abréviations et acronymes</w:t>
      </w:r>
    </w:p>
    <w:p>
      <w:pPr>
        <w:spacing w:line="336" w:lineRule="auto"/>
        <w:jc w:val="left"/>
      </w:pPr>
      <w:r>
        <w:rPr>
          <w:rFonts w:ascii="Cairo" w:hAnsi="Cairo"/>
          <w:color w:val="1E3D21"/>
          <w:sz w:val="23"/>
        </w:rPr>
        <w:t>Aucune connaissance préalable n'est supposée. Chaque sigle utilisé dans ce document est défini ici.</w:t>
      </w:r>
    </w:p>
    <w:p>
      <w:pPr>
        <w:pStyle w:val="ListBullet"/>
      </w:pPr>
      <w:r>
        <w:rPr>
          <w:rFonts w:ascii="Cairo" w:hAnsi="Cairo"/>
          <w:color w:val="1E3D21"/>
          <w:sz w:val="23"/>
        </w:rPr>
        <w:t>IA : intelligence artificielle.</w:t>
      </w:r>
    </w:p>
    <w:p>
      <w:pPr>
        <w:spacing w:before="200" w:after="60"/>
      </w:pPr>
      <w:r>
        <w:rPr>
          <w:rFonts w:ascii="Bakbak One" w:hAnsi="Bakbak One"/>
          <w:b/>
          <w:color w:val="48994E"/>
          <w:sz w:val="27"/>
        </w:rPr>
        <w:t>Comment l'utiliser</w:t>
      </w:r>
    </w:p>
    <w:p>
      <w:pPr>
        <w:spacing w:line="336" w:lineRule="auto"/>
        <w:jc w:val="left"/>
      </w:pPr>
      <w:r>
        <w:rPr>
          <w:rFonts w:ascii="Cairo" w:hAnsi="Cairo"/>
          <w:color w:val="1E3D21"/>
          <w:sz w:val="23"/>
        </w:rPr>
        <w:t>Notez chaque affirmation de 0 à 3.</w:t>
      </w:r>
    </w:p>
    <w:p>
      <w:pPr>
        <w:spacing w:line="336" w:lineRule="auto"/>
        <w:jc w:val="left"/>
      </w:pPr>
      <w:r>
        <w:rPr>
          <w:rFonts w:ascii="Cairo" w:hAnsi="Cairo"/>
          <w:color w:val="1E3D21"/>
          <w:sz w:val="23"/>
        </w:rPr>
        <w:t>0 = faux chez nous. 1 = partiellement vrai, informel. 2 = largement vrai, documenté. 3 = entièrement vrai, prouvé et revu. Soyez honnête. Un score flatteur n'aide personne. Additionnez les cinq sections pour obtenir un score sur 60.</w:t>
      </w:r>
    </w:p>
    <w:p>
      <w:pPr>
        <w:spacing w:before="200" w:after="60"/>
      </w:pPr>
      <w:r>
        <w:rPr>
          <w:rFonts w:ascii="Bakbak One" w:hAnsi="Bakbak One"/>
          <w:b/>
          <w:color w:val="48994E"/>
          <w:sz w:val="27"/>
        </w:rPr>
        <w:t>Section 1 : Équité et non-discrimination (sur 12)</w:t>
      </w:r>
    </w:p>
    <w:p>
      <w:r>
        <w:rPr>
          <w:rFonts w:ascii="Cairo" w:hAnsi="Cairo"/>
          <w:color w:val="1E3D21"/>
          <w:sz w:val="23"/>
        </w:rPr>
        <w:t>1. Nous testons nos systèmes d'IA contre les résultats biaisés ou discriminatoires avant leur mise en service.</w:t>
      </w:r>
    </w:p>
    <w:p>
      <w:r>
        <w:rPr>
          <w:rFonts w:ascii="Cairo" w:hAnsi="Cairo"/>
          <w:color w:val="1E3D21"/>
          <w:sz w:val="23"/>
        </w:rPr>
        <w:t>2. Nous savons quels groupes pourraient être désavantagés par chaque système, et nous le surveillons.</w:t>
      </w:r>
    </w:p>
    <w:p>
      <w:r>
        <w:rPr>
          <w:rFonts w:ascii="Cairo" w:hAnsi="Cairo"/>
          <w:color w:val="1E3D21"/>
          <w:sz w:val="23"/>
        </w:rPr>
        <w:t>3. Quand nous découvrons des résultats inéquitables, nous disposons d'une méthode définie pour les corriger.</w:t>
      </w:r>
    </w:p>
    <w:p>
      <w:r>
        <w:rPr>
          <w:rFonts w:ascii="Cairo" w:hAnsi="Cairo"/>
          <w:color w:val="1E3D21"/>
          <w:sz w:val="23"/>
        </w:rPr>
        <w:t>4. L'équité est traitée comme une obligation morale, pas seulement juridique.</w:t>
      </w:r>
    </w:p>
    <w:p>
      <w:pPr>
        <w:spacing w:before="200" w:after="60"/>
      </w:pPr>
      <w:r>
        <w:rPr>
          <w:rFonts w:ascii="Bakbak One" w:hAnsi="Bakbak One"/>
          <w:b/>
          <w:color w:val="48994E"/>
          <w:sz w:val="27"/>
        </w:rPr>
        <w:t>Section 2 : Transparence et explicabilité (sur 12)</w:t>
      </w:r>
    </w:p>
    <w:p>
      <w:r>
        <w:rPr>
          <w:rFonts w:ascii="Cairo" w:hAnsi="Cairo"/>
          <w:color w:val="1E3D21"/>
          <w:sz w:val="23"/>
        </w:rPr>
        <w:t>5. Les personnes concernées par une décision d'IA peuvent savoir qu'une IA est intervenue.</w:t>
      </w:r>
    </w:p>
    <w:p>
      <w:r>
        <w:rPr>
          <w:rFonts w:ascii="Cairo" w:hAnsi="Cairo"/>
          <w:color w:val="1E3D21"/>
          <w:sz w:val="23"/>
        </w:rPr>
        <w:t>6. Nous pouvons expliquer, en langage clair, comment une décision d'IA importante a été prise.</w:t>
      </w:r>
    </w:p>
    <w:p>
      <w:r>
        <w:rPr>
          <w:rFonts w:ascii="Cairo" w:hAnsi="Cairo"/>
          <w:color w:val="1E3D21"/>
          <w:sz w:val="23"/>
        </w:rPr>
        <w:t>7. Nous divulguons les limites de nos systèmes d'IA, pas seulement leurs points forts.</w:t>
      </w:r>
    </w:p>
    <w:p>
      <w:r>
        <w:rPr>
          <w:rFonts w:ascii="Cairo" w:hAnsi="Cairo"/>
          <w:color w:val="1E3D21"/>
          <w:sz w:val="23"/>
        </w:rPr>
        <w:t>8. Nous n'exagérons pas les capacités de notre IA auprès des clients, du personnel ou du public.</w:t>
      </w:r>
    </w:p>
    <w:p>
      <w:pPr>
        <w:spacing w:before="200" w:after="60"/>
      </w:pPr>
      <w:r>
        <w:rPr>
          <w:rFonts w:ascii="Bakbak One" w:hAnsi="Bakbak One"/>
          <w:b/>
          <w:color w:val="48994E"/>
          <w:sz w:val="27"/>
        </w:rPr>
        <w:t>Section 3 : Dignité humaine, autonomie et consentement (sur 12)</w:t>
      </w:r>
    </w:p>
    <w:p>
      <w:r>
        <w:rPr>
          <w:rFonts w:ascii="Cairo" w:hAnsi="Cairo"/>
          <w:color w:val="1E3D21"/>
          <w:sz w:val="23"/>
        </w:rPr>
        <w:t>9. Les personnes peuvent contester une décision d'IA qui les concerne auprès d'un humain.</w:t>
      </w:r>
    </w:p>
    <w:p>
      <w:r>
        <w:rPr>
          <w:rFonts w:ascii="Cairo" w:hAnsi="Cairo"/>
          <w:color w:val="1E3D21"/>
          <w:sz w:val="23"/>
        </w:rPr>
        <w:t>10. Nous obtenons un consentement réel avant d'utiliser des données personnelles pour entraîner ou faire fonctionner une IA.</w:t>
      </w:r>
    </w:p>
    <w:p>
      <w:r>
        <w:rPr>
          <w:rFonts w:ascii="Cairo" w:hAnsi="Cairo"/>
          <w:color w:val="1E3D21"/>
          <w:sz w:val="23"/>
        </w:rPr>
        <w:t>11. Notre IA soutient le jugement humain au lieu de le remplacer en silence là où cela compte.</w:t>
      </w:r>
    </w:p>
    <w:p>
      <w:r>
        <w:rPr>
          <w:rFonts w:ascii="Cairo" w:hAnsi="Cairo"/>
          <w:color w:val="1E3D21"/>
          <w:sz w:val="23"/>
        </w:rPr>
        <w:t>12. Nous avons évalué l'impact de nos systèmes sur la dignité des personnes qu'ils touchent.</w:t>
      </w:r>
    </w:p>
    <w:p>
      <w:pPr>
        <w:spacing w:before="200" w:after="60"/>
      </w:pPr>
      <w:r>
        <w:rPr>
          <w:rFonts w:ascii="Bakbak One" w:hAnsi="Bakbak One"/>
          <w:b/>
          <w:color w:val="48994E"/>
          <w:sz w:val="27"/>
        </w:rPr>
        <w:t>Section 4 : Responsabilité et gouvernance (sur 12)</w:t>
      </w:r>
    </w:p>
    <w:p>
      <w:r>
        <w:rPr>
          <w:rFonts w:ascii="Cairo" w:hAnsi="Cairo"/>
          <w:color w:val="1E3D21"/>
          <w:sz w:val="23"/>
        </w:rPr>
        <w:t>13. Une personne nommée est redevable de chaque système d'IA en production.</w:t>
      </w:r>
    </w:p>
    <w:p>
      <w:r>
        <w:rPr>
          <w:rFonts w:ascii="Cairo" w:hAnsi="Cairo"/>
          <w:color w:val="1E3D21"/>
          <w:sz w:val="23"/>
        </w:rPr>
        <w:t>14. Les décisions éthiques importantes sont consignées et peuvent être retrouvées.</w:t>
      </w:r>
    </w:p>
    <w:p>
      <w:r>
        <w:rPr>
          <w:rFonts w:ascii="Cairo" w:hAnsi="Cairo"/>
          <w:color w:val="1E3D21"/>
          <w:sz w:val="23"/>
        </w:rPr>
        <w:t>15. Un processus de revue existe avant le lancement de tout système sensible.</w:t>
      </w:r>
    </w:p>
    <w:p>
      <w:r>
        <w:rPr>
          <w:rFonts w:ascii="Cairo" w:hAnsi="Cairo"/>
          <w:color w:val="1E3D21"/>
          <w:sz w:val="23"/>
        </w:rPr>
        <w:t>16. Nos fournisseurs d'IA sont soumis aux mêmes exigences éthiques que nos systèmes internes.</w:t>
      </w:r>
    </w:p>
    <w:p>
      <w:pPr>
        <w:spacing w:before="200" w:after="60"/>
      </w:pPr>
      <w:r>
        <w:rPr>
          <w:rFonts w:ascii="Bakbak One" w:hAnsi="Bakbak One"/>
          <w:b/>
          <w:color w:val="48994E"/>
          <w:sz w:val="27"/>
        </w:rPr>
        <w:t>Section 5 : Responsabilité sociétale (sur 12)</w:t>
      </w:r>
    </w:p>
    <w:p>
      <w:r>
        <w:rPr>
          <w:rFonts w:ascii="Cairo" w:hAnsi="Cairo"/>
          <w:color w:val="1E3D21"/>
          <w:sz w:val="23"/>
        </w:rPr>
        <w:t>17. Nous évaluons l'impact de nos systèmes au-delà de nos clients directs.</w:t>
      </w:r>
    </w:p>
    <w:p>
      <w:r>
        <w:rPr>
          <w:rFonts w:ascii="Cairo" w:hAnsi="Cairo"/>
          <w:color w:val="1E3D21"/>
          <w:sz w:val="23"/>
        </w:rPr>
        <w:t>18. Nous mesurons l'empreinte environnementale de nos usages d'IA les plus lourds.</w:t>
      </w:r>
    </w:p>
    <w:p>
      <w:r>
        <w:rPr>
          <w:rFonts w:ascii="Cairo" w:hAnsi="Cairo"/>
          <w:color w:val="1E3D21"/>
          <w:sz w:val="23"/>
        </w:rPr>
        <w:t>19. Nous refusons les usages qui manipulent, trompent ou exploitent la vulnérabilité.</w:t>
      </w:r>
    </w:p>
    <w:p>
      <w:r>
        <w:rPr>
          <w:rFonts w:ascii="Cairo" w:hAnsi="Cairo"/>
          <w:color w:val="1E3D21"/>
          <w:sz w:val="23"/>
        </w:rPr>
        <w:t>20. Nos principes éthiques survivraient à leur publication en première page d'un journal.</w:t>
      </w:r>
    </w:p>
    <w:p>
      <w:pPr>
        <w:spacing w:before="200" w:after="60"/>
      </w:pPr>
      <w:r>
        <w:rPr>
          <w:rFonts w:ascii="Bakbak One" w:hAnsi="Bakbak One"/>
          <w:b/>
          <w:color w:val="48994E"/>
          <w:sz w:val="27"/>
        </w:rPr>
        <w:t>Lecture du score</w:t>
      </w:r>
    </w:p>
    <w:p>
      <w:pPr>
        <w:pStyle w:val="ListBullet"/>
      </w:pPr>
      <w:r>
        <w:rPr>
          <w:rFonts w:ascii="Cairo" w:hAnsi="Cairo"/>
          <w:color w:val="1E3D21"/>
          <w:sz w:val="23"/>
        </w:rPr>
        <w:t>48 à 60 : pratique solide. Faites-la certifier et prouvez-la.</w:t>
      </w:r>
    </w:p>
    <w:p>
      <w:pPr>
        <w:pStyle w:val="ListBullet"/>
      </w:pPr>
      <w:r>
        <w:rPr>
          <w:rFonts w:ascii="Cairo" w:hAnsi="Cairo"/>
          <w:color w:val="1E3D21"/>
          <w:sz w:val="23"/>
        </w:rPr>
        <w:t>30 à 47 : fondations réelles, écarts réels. Priorisez les sections les plus faibles.</w:t>
      </w:r>
    </w:p>
    <w:p>
      <w:pPr>
        <w:pStyle w:val="ListBullet"/>
      </w:pPr>
      <w:r>
        <w:rPr>
          <w:rFonts w:ascii="Cairo" w:hAnsi="Cairo"/>
          <w:color w:val="1E3D21"/>
          <w:sz w:val="23"/>
        </w:rPr>
        <w:t>15 à 29 : principes déclarés, pratique fragile. Le kit opérationnel est votre prochaine étape.</w:t>
      </w:r>
    </w:p>
    <w:p>
      <w:pPr>
        <w:pStyle w:val="ListBullet"/>
      </w:pPr>
      <w:r>
        <w:rPr>
          <w:rFonts w:ascii="Cairo" w:hAnsi="Cairo"/>
          <w:color w:val="1E3D21"/>
          <w:sz w:val="23"/>
        </w:rPr>
        <w:t>0 à 14 : exposition sérieuse. Commencez par la section 4 : sans propriétaire, rien ne tient.</w:t>
      </w:r>
    </w:p>
    <w:p>
      <w:pPr>
        <w:spacing w:before="200" w:after="60"/>
      </w:pPr>
      <w:r>
        <w:rPr>
          <w:rFonts w:ascii="Bakbak One" w:hAnsi="Bakbak One"/>
          <w:b/>
          <w:color w:val="48994E"/>
          <w:sz w:val="27"/>
        </w:rPr>
        <w:t>Où s'arrête le gratuit et où commence le payant</w:t>
      </w:r>
    </w:p>
    <w:p>
      <w:pPr>
        <w:pStyle w:val="ListBullet"/>
      </w:pPr>
      <w:r>
        <w:rPr>
          <w:rFonts w:ascii="Cairo" w:hAnsi="Cairo"/>
          <w:color w:val="1E3D21"/>
          <w:sz w:val="23"/>
        </w:rPr>
        <w:t>GRATUIT (le quoi et le pourquoi) : cette autoévaluation et sa grille de lecture.</w:t>
      </w:r>
    </w:p>
    <w:p>
      <w:pPr>
        <w:pStyle w:val="ListBullet"/>
      </w:pPr>
      <w:r>
        <w:rPr>
          <w:rFonts w:ascii="Cairo" w:hAnsi="Cairo"/>
          <w:color w:val="1E3D21"/>
          <w:sz w:val="23"/>
        </w:rPr>
        <w:t>PAYANT (le comment) : la charte du comité d'éthique, le modèle de décision, le registre des risques éthiques et le pack de reporting au conseil dans le AI Ethics Operating Kit (Niveau C).</w:t>
      </w:r>
    </w:p>
    <w:p>
      <w:pPr>
        <w:pBdr>
          <w:top w:val="single" w:sz="6" w:space="4" w:color="BDE051"/>
        </w:pBdr>
      </w:pPr>
      <w:r>
        <w:rPr>
          <w:rFonts w:ascii="Cairo" w:hAnsi="Cairo"/>
          <w:color w:val="48994E"/>
          <w:sz w:val="19"/>
        </w:rPr>
        <w:t>AI GOVERNANCE CHAIN™</w:t>
      </w:r>
    </w:p>
    <w:p>
      <w:r>
        <w:rPr>
          <w:rFonts w:ascii="Cairo" w:hAnsi="Cairo"/>
          <w:color w:val="48994E"/>
          <w:sz w:val="19"/>
        </w:rPr>
        <w:t>Cadre de gouvernance de l'IA</w:t>
      </w:r>
    </w:p>
    <w:p>
      <w:r>
        <w:rPr>
          <w:rFonts w:ascii="Cairo" w:hAnsi="Cairo"/>
          <w:color w:val="48994E"/>
          <w:sz w:val="19"/>
        </w:rPr>
        <w:t>© 2026 Mathieu K. Gouanou. Tous droits réservés.</w:t>
      </w:r>
    </w:p>
    <w:p>
      <w:r>
        <w:rPr>
          <w:rFonts w:ascii="Cairo" w:hAnsi="Cairo"/>
          <w:color w:val="48994E"/>
          <w:sz w:val="19"/>
        </w:rPr>
        <w:t>Membre du conseil consultatif de la Harvard Business Review.</w:t>
      </w:r>
    </w:p>
    <w:p>
      <w:r>
        <w:rPr>
          <w:rFonts w:ascii="Cairo" w:hAnsi="Cairo"/>
          <w:color w:val="48994E"/>
          <w:sz w:val="19"/>
        </w:rPr>
        <w:t>Standard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 PAGE </w:instrText>
      <w:fldChar w:fldCharType="end"/>
    </w:r>
    <w:r>
      <w:rPr>
        <w:rFonts w:ascii="Cairo" w:hAnsi="Cairo"/>
        <w:color w:val="48994E"/>
        <w:sz w:val="18"/>
      </w:rPr>
      <w:t>/</w:t>
    </w:r>
    <w:r>
      <w:rPr>
        <w:rFonts w:ascii="Cairo" w:hAnsi="Cairo"/>
        <w:color w:val="48994E"/>
        <w:sz w:val="18"/>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iro" w:hAnsi="Cairo"/>
      <w:color w:val="1E3D21"/>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