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Bakbak One" w:hAnsi="Bakbak One"/>
          <w:b/>
          <w:color w:val="1E3D21"/>
          <w:sz w:val="40"/>
        </w:rPr>
        <w:t>Le contrôle rapide de la culture IA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Actif GRATUIT | Niveau 0 | AI GOVERNANCE CHAIN™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Votre personnel utilise l'IA tous les jours. La loi attend désormais qu'il la comprenne. Douze questions pour savoir où vous en êtes.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Abréviations et acronymes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Aucune connaissance préalable n'est supposée. Chaque sigle utilisé dans ce document est défini ici.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IA : intelligence artificielle.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Règlement européen sur l'IA : le règlement (UE) 2024/1689, dont l'obligation de maîtrise de l'IA s'applique depuis février 2025.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Le POURQUOI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Le règlement européen sur l'IA impose aux organisations de garantir un niveau suffisant de maîtrise de l'IA chez les personnes qui exploitent leurs systèmes. Au-delà de l'obligation, un personnel qui ne comprend pas l'IA ne peut ni la questionner ni la surveiller.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Les douze questions (oui ou non)</w:t>
      </w:r>
    </w:p>
    <w:p>
      <w:r>
        <w:rPr>
          <w:rFonts w:ascii="Cairo" w:hAnsi="Cairo"/>
          <w:color w:val="1E3D21"/>
          <w:sz w:val="23"/>
        </w:rPr>
        <w:t>1. Le personnel sait-il quels outils d'IA il a le droit d'utiliser au travail ?</w:t>
      </w:r>
    </w:p>
    <w:p>
      <w:r>
        <w:rPr>
          <w:rFonts w:ascii="Cairo" w:hAnsi="Cairo"/>
          <w:color w:val="1E3D21"/>
          <w:sz w:val="23"/>
        </w:rPr>
        <w:t>2. Sait-il quelles données ne doivent jamais être saisies dans un outil d'IA ?</w:t>
      </w:r>
    </w:p>
    <w:p>
      <w:r>
        <w:rPr>
          <w:rFonts w:ascii="Cairo" w:hAnsi="Cairo"/>
          <w:color w:val="1E3D21"/>
          <w:sz w:val="23"/>
        </w:rPr>
        <w:t>3. Sait-il que l'IA peut produire des réponses fausses avec assurance ?</w:t>
      </w:r>
    </w:p>
    <w:p>
      <w:r>
        <w:rPr>
          <w:rFonts w:ascii="Cairo" w:hAnsi="Cairo"/>
          <w:color w:val="1E3D21"/>
          <w:sz w:val="23"/>
        </w:rPr>
        <w:t>4. Sait-il reconnaître quand une IA flatte au lieu de dire vrai ?</w:t>
      </w:r>
    </w:p>
    <w:p>
      <w:r>
        <w:rPr>
          <w:rFonts w:ascii="Cairo" w:hAnsi="Cairo"/>
          <w:color w:val="1E3D21"/>
          <w:sz w:val="23"/>
        </w:rPr>
        <w:t>5. Les utilisateurs de systèmes à haut risque ont-ils reçu une formation spécifique ?</w:t>
      </w:r>
    </w:p>
    <w:p>
      <w:r>
        <w:rPr>
          <w:rFonts w:ascii="Cairo" w:hAnsi="Cairo"/>
          <w:color w:val="1E3D21"/>
          <w:sz w:val="23"/>
        </w:rPr>
        <w:t>6. Les managers savent-ils quelles décisions ne doivent pas être déléguées à l'IA ?</w:t>
      </w:r>
    </w:p>
    <w:p>
      <w:r>
        <w:rPr>
          <w:rFonts w:ascii="Cairo" w:hAnsi="Cairo"/>
          <w:color w:val="1E3D21"/>
          <w:sz w:val="23"/>
        </w:rPr>
        <w:t>7. Chacun sait-il à qui signaler un comportement anormal d'un système ?</w:t>
      </w:r>
    </w:p>
    <w:p>
      <w:r>
        <w:rPr>
          <w:rFonts w:ascii="Cairo" w:hAnsi="Cairo"/>
          <w:color w:val="1E3D21"/>
          <w:sz w:val="23"/>
        </w:rPr>
        <w:t>8. La direction comprend-elle les obligations réglementaires qui s'appliquent ?</w:t>
      </w:r>
    </w:p>
    <w:p>
      <w:r>
        <w:rPr>
          <w:rFonts w:ascii="Cairo" w:hAnsi="Cairo"/>
          <w:color w:val="1E3D21"/>
          <w:sz w:val="23"/>
        </w:rPr>
        <w:t>9. Les nouvelles recrues reçoivent-elles une initiation à l'usage responsable de l'IA ?</w:t>
      </w:r>
    </w:p>
    <w:p>
      <w:r>
        <w:rPr>
          <w:rFonts w:ascii="Cairo" w:hAnsi="Cairo"/>
          <w:color w:val="1E3D21"/>
          <w:sz w:val="23"/>
        </w:rPr>
        <w:t>10. La formation est-elle mise à jour quand les outils ou les règles changent ?</w:t>
      </w:r>
    </w:p>
    <w:p>
      <w:r>
        <w:rPr>
          <w:rFonts w:ascii="Cairo" w:hAnsi="Cairo"/>
          <w:color w:val="1E3D21"/>
          <w:sz w:val="23"/>
        </w:rPr>
        <w:t>11. Mesurez-vous le niveau de maîtrise (quiz, évaluations, certifications internes) ?</w:t>
      </w:r>
    </w:p>
    <w:p>
      <w:r>
        <w:rPr>
          <w:rFonts w:ascii="Cairo" w:hAnsi="Cairo"/>
          <w:color w:val="1E3D21"/>
          <w:sz w:val="23"/>
        </w:rPr>
        <w:t>12. La culture IA figure-t-elle dans un plan avec un propriétaire et un budget ?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Lecture du score (un point par oui)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10 à 12 : culture solide. Entretenez la cadence.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6 à 9 : socle réel, écarts réels. Priorisez les questions 2, 3 et 7.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0 à 5 : exposition réglementaire et opérationnelle. Un programme structuré s'impose.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Où s'arrête le gratuit et où commence le payant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GRATUIT (le quoi et le pourquoi) : ce contrôle rapide et sa lecture.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PAYANT (le comment) : les parcours de formation par rôle, les supports et la mesure dans le AI Literacy and Culture Program Kit (Niveau C).</w:t>
      </w:r>
    </w:p>
    <w:p>
      <w:pPr>
        <w:pBdr>
          <w:top w:val="single" w:sz="6" w:space="4" w:color="BDE051"/>
        </w:pBdr>
      </w:pPr>
      <w:r>
        <w:rPr>
          <w:rFonts w:ascii="Cairo" w:hAnsi="Cairo"/>
          <w:color w:val="48994E"/>
          <w:sz w:val="19"/>
        </w:rPr>
        <w:t>AI GOVERNANCE CHAIN™</w:t>
      </w:r>
    </w:p>
    <w:p>
      <w:r>
        <w:rPr>
          <w:rFonts w:ascii="Cairo" w:hAnsi="Cairo"/>
          <w:color w:val="48994E"/>
          <w:sz w:val="19"/>
        </w:rPr>
        <w:t>Cadre de gouvernance de l'IA</w:t>
      </w:r>
    </w:p>
    <w:p>
      <w:r>
        <w:rPr>
          <w:rFonts w:ascii="Cairo" w:hAnsi="Cairo"/>
          <w:color w:val="48994E"/>
          <w:sz w:val="19"/>
        </w:rPr>
        <w:t>© 2026 Mathieu K. Gouanou. Tous droits réservés.</w:t>
      </w:r>
    </w:p>
    <w:p>
      <w:r>
        <w:rPr>
          <w:rFonts w:ascii="Cairo" w:hAnsi="Cairo"/>
          <w:color w:val="48994E"/>
          <w:sz w:val="19"/>
        </w:rPr>
        <w:t>Membre du conseil consultatif de la Harvard Business Review.</w:t>
      </w:r>
    </w:p>
    <w:p>
      <w:r>
        <w:rPr>
          <w:rFonts w:ascii="Cairo" w:hAnsi="Cairo"/>
          <w:color w:val="48994E"/>
          <w:sz w:val="19"/>
        </w:rPr>
        <w:t>Standard documentaire : une gouvernance de l'IA centrée sur l'humain.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</w:rPr>
      <w:t>/</w:t>
    </w:r>
    <w:r>
      <w:rPr>
        <w:rFonts w:ascii="Cairo" w:hAnsi="Cairo"/>
        <w:color w:val="48994E"/>
        <w:sz w:val="18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iro" w:hAnsi="Cairo"/>
      <w:color w:val="1E3D21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