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1E3D21"/>
          <w:sz w:val="40"/>
        </w:rPr>
        <w:t>L'écart de gouvernance de la frontière</w:t>
      </w:r>
    </w:p>
    <w:p>
      <w:pPr>
        <w:spacing w:line="336" w:lineRule="auto"/>
        <w:jc w:val="left"/>
      </w:pPr>
      <w:r>
        <w:rPr>
          <w:rFonts w:ascii="Cairo" w:hAnsi="Cairo"/>
          <w:color w:val="1E3D21"/>
          <w:sz w:val="23"/>
        </w:rPr>
        <w:t>Actif GRATUIT | Niveau 0 | AI GOVERNANCE CHAIN™</w:t>
      </w:r>
    </w:p>
    <w:p>
      <w:pPr>
        <w:spacing w:line="336" w:lineRule="auto"/>
        <w:jc w:val="left"/>
      </w:pPr>
      <w:r>
        <w:rPr>
          <w:rFonts w:ascii="Cairo" w:hAnsi="Cairo"/>
          <w:color w:val="1E3D21"/>
          <w:sz w:val="23"/>
        </w:rPr>
        <w:t>Pourquoi les systèmes les plus puissants sont les moins gouvernés, et ce que cela signifie pour vous.</w:t>
      </w:r>
    </w:p>
    <w:p>
      <w:pPr>
        <w:spacing w:before="200" w:after="60"/>
      </w:pPr>
      <w:r>
        <w:rPr>
          <w:rFonts w:ascii="Bakbak One" w:hAnsi="Bakbak One"/>
          <w:b/>
          <w:color w:val="48994E"/>
          <w:sz w:val="27"/>
        </w:rPr>
        <w:t>Abréviations et acronymes</w:t>
      </w:r>
    </w:p>
    <w:p>
      <w:pPr>
        <w:spacing w:line="336" w:lineRule="auto"/>
        <w:jc w:val="left"/>
      </w:pPr>
      <w:r>
        <w:rPr>
          <w:rFonts w:ascii="Cairo" w:hAnsi="Cairo"/>
          <w:color w:val="1E3D21"/>
          <w:sz w:val="23"/>
        </w:rPr>
        <w:t>Aucune connaissance préalable n'est supposée. Chaque sigle utilisé dans ce document est défini ici.</w:t>
      </w:r>
    </w:p>
    <w:p>
      <w:pPr>
        <w:pStyle w:val="ListBullet"/>
      </w:pPr>
      <w:r>
        <w:rPr>
          <w:rFonts w:ascii="Cairo" w:hAnsi="Cairo"/>
          <w:color w:val="1E3D21"/>
          <w:sz w:val="23"/>
        </w:rPr>
        <w:t>IA : intelligence artificielle.</w:t>
      </w:r>
    </w:p>
    <w:p>
      <w:pPr>
        <w:pStyle w:val="ListBullet"/>
      </w:pPr>
      <w:r>
        <w:rPr>
          <w:rFonts w:ascii="Cairo" w:hAnsi="Cairo"/>
          <w:color w:val="1E3D21"/>
          <w:sz w:val="23"/>
        </w:rPr>
        <w:t>IA de frontière : les systèmes les plus avancés, notamment les agents autonomes.</w:t>
      </w:r>
    </w:p>
    <w:p>
      <w:pPr>
        <w:pStyle w:val="ListBullet"/>
      </w:pPr>
      <w:r>
        <w:rPr>
          <w:rFonts w:ascii="Cairo" w:hAnsi="Cairo"/>
          <w:color w:val="1E3D21"/>
          <w:sz w:val="23"/>
        </w:rPr>
        <w:t>AGI : intelligence artificielle générale.</w:t>
      </w:r>
    </w:p>
    <w:p>
      <w:pPr>
        <w:spacing w:before="200" w:after="60"/>
      </w:pPr>
      <w:r>
        <w:rPr>
          <w:rFonts w:ascii="Bakbak One" w:hAnsi="Bakbak One"/>
          <w:b/>
          <w:color w:val="48994E"/>
          <w:sz w:val="27"/>
        </w:rPr>
        <w:t>L'écart, en une phrase</w:t>
      </w:r>
    </w:p>
    <w:p>
      <w:pPr>
        <w:spacing w:line="336" w:lineRule="auto"/>
        <w:jc w:val="left"/>
      </w:pPr>
      <w:r>
        <w:rPr>
          <w:rFonts w:ascii="Cairo" w:hAnsi="Cairo"/>
          <w:color w:val="1E3D21"/>
          <w:sz w:val="23"/>
        </w:rPr>
        <w:t>La gouvernance d'entreprise s'est construite pour des systèmes qui répondent ; la frontière est faite de systèmes qui agissent.</w:t>
      </w:r>
    </w:p>
    <w:p>
      <w:pPr>
        <w:spacing w:before="200" w:after="60"/>
      </w:pPr>
      <w:r>
        <w:rPr>
          <w:rFonts w:ascii="Bakbak One" w:hAnsi="Bakbak One"/>
          <w:b/>
          <w:color w:val="48994E"/>
          <w:sz w:val="27"/>
        </w:rPr>
        <w:t>Pourquoi l'écart se creuse</w:t>
      </w:r>
    </w:p>
    <w:p>
      <w:r>
        <w:rPr>
          <w:rFonts w:ascii="Cairo" w:hAnsi="Cairo"/>
          <w:color w:val="1E3D21"/>
          <w:sz w:val="23"/>
        </w:rPr>
        <w:t>1. La vitesse. Les capacités des systèmes avancent par trimestres ; les cadres de gouvernance par années.</w:t>
      </w:r>
    </w:p>
    <w:p>
      <w:r>
        <w:rPr>
          <w:rFonts w:ascii="Cairo" w:hAnsi="Cairo"/>
          <w:color w:val="1E3D21"/>
          <w:sz w:val="23"/>
        </w:rPr>
        <w:t>2. L'autonomie. Un agent qui enchaîne des actions sans validation multiplie les occasions d'erreur entre deux regards humains.</w:t>
      </w:r>
    </w:p>
    <w:p>
      <w:r>
        <w:rPr>
          <w:rFonts w:ascii="Cairo" w:hAnsi="Cairo"/>
          <w:color w:val="1E3D21"/>
          <w:sz w:val="23"/>
        </w:rPr>
        <w:t>3. La composition. Des agents qui appellent d'autres agents créent des chaînes que personne n'a conçues de bout en bout.</w:t>
      </w:r>
    </w:p>
    <w:p>
      <w:r>
        <w:rPr>
          <w:rFonts w:ascii="Cairo" w:hAnsi="Cairo"/>
          <w:color w:val="1E3D21"/>
          <w:sz w:val="23"/>
        </w:rPr>
        <w:t>4. L'illisibilité. Plus le système est capable, plus il est difficile d'expliquer pourquoi il a agi ainsi.</w:t>
      </w:r>
    </w:p>
    <w:p>
      <w:r>
        <w:rPr>
          <w:rFonts w:ascii="Cairo" w:hAnsi="Cairo"/>
          <w:color w:val="1E3D21"/>
          <w:sz w:val="23"/>
        </w:rPr>
        <w:t>5. Le vide de référentiel. Les normes et règlements couvrent bien les systèmes classiques ; la frontière reste largement devant eux.</w:t>
      </w:r>
    </w:p>
    <w:p>
      <w:pPr>
        <w:spacing w:before="200" w:after="60"/>
      </w:pPr>
      <w:r>
        <w:rPr>
          <w:rFonts w:ascii="Bakbak One" w:hAnsi="Bakbak One"/>
          <w:b/>
          <w:color w:val="48994E"/>
          <w:sz w:val="27"/>
        </w:rPr>
        <w:t>Ce que font les organisations sérieuses</w:t>
      </w:r>
    </w:p>
    <w:p>
      <w:pPr>
        <w:spacing w:line="336" w:lineRule="auto"/>
        <w:jc w:val="left"/>
      </w:pPr>
      <w:r>
        <w:rPr>
          <w:rFonts w:ascii="Cairo" w:hAnsi="Cairo"/>
          <w:color w:val="1E3D21"/>
          <w:sz w:val="23"/>
        </w:rPr>
        <w:t>Elles n'attendent pas le référentiel. Elles inventorient leurs agents, écrivent des périmètres d'action, imposent des limites et des arrêts testés, tracent chaque action, et nomment un redevable par agent. Autrement dit : elles gouvernent la frontière avec la même discipline que la production, plus tôt que le marché ne l'exige.</w:t>
      </w:r>
    </w:p>
    <w:p>
      <w:pPr>
        <w:spacing w:before="200" w:after="60"/>
      </w:pPr>
      <w:r>
        <w:rPr>
          <w:rFonts w:ascii="Bakbak One" w:hAnsi="Bakbak One"/>
          <w:b/>
          <w:color w:val="48994E"/>
          <w:sz w:val="27"/>
        </w:rPr>
        <w:t>Où s'arrête le gratuit et où commence le payant</w:t>
      </w:r>
    </w:p>
    <w:p>
      <w:pPr>
        <w:pStyle w:val="ListBullet"/>
      </w:pPr>
      <w:r>
        <w:rPr>
          <w:rFonts w:ascii="Cairo" w:hAnsi="Cairo"/>
          <w:color w:val="1E3D21"/>
          <w:sz w:val="23"/>
        </w:rPr>
        <w:t>GRATUIT (le quoi et le pourquoi) : cette analyse de l'écart.</w:t>
      </w:r>
    </w:p>
    <w:p>
      <w:pPr>
        <w:pStyle w:val="ListBullet"/>
      </w:pPr>
      <w:r>
        <w:rPr>
          <w:rFonts w:ascii="Cairo" w:hAnsi="Cairo"/>
          <w:color w:val="1E3D21"/>
          <w:sz w:val="23"/>
        </w:rPr>
        <w:t>PAYANT (le comment) : le cadre complet de gouvernance de frontière, du modèle de risque aux garde-fous, dans le Frontier and AGI Governance Kit (Niveau C).</w:t>
      </w:r>
    </w:p>
    <w:p>
      <w:pPr>
        <w:pBdr>
          <w:top w:val="single" w:sz="6" w:space="4" w:color="BDE051"/>
        </w:pBdr>
      </w:pPr>
      <w:r>
        <w:rPr>
          <w:rFonts w:ascii="Cairo" w:hAnsi="Cairo"/>
          <w:color w:val="48994E"/>
          <w:sz w:val="19"/>
        </w:rPr>
        <w:t>AI GOVERNANCE CHAIN™</w:t>
      </w:r>
    </w:p>
    <w:p>
      <w:r>
        <w:rPr>
          <w:rFonts w:ascii="Cairo" w:hAnsi="Cairo"/>
          <w:color w:val="48994E"/>
          <w:sz w:val="19"/>
        </w:rPr>
        <w:t>Cadre de gouvernance de l'IA</w:t>
      </w:r>
    </w:p>
    <w:p>
      <w:r>
        <w:rPr>
          <w:rFonts w:ascii="Cairo" w:hAnsi="Cairo"/>
          <w:color w:val="48994E"/>
          <w:sz w:val="19"/>
        </w:rPr>
        <w:t>© 2026 Mathieu K. Gouanou. Tous droits réservés.</w:t>
      </w:r>
    </w:p>
    <w:p>
      <w:r>
        <w:rPr>
          <w:rFonts w:ascii="Cairo" w:hAnsi="Cairo"/>
          <w:color w:val="48994E"/>
          <w:sz w:val="19"/>
        </w:rPr>
        <w:t>Membre du conseil consultatif de la Harvard Business Review.</w:t>
      </w:r>
    </w:p>
    <w:p>
      <w:r>
        <w:rPr>
          <w:rFonts w:ascii="Cairo" w:hAnsi="Cairo"/>
          <w:color w:val="48994E"/>
          <w:sz w:val="19"/>
        </w:rPr>
        <w:t>Standard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