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18" w:space="4" w:color="BDE051"/>
        </w:pBdr>
      </w:pPr>
      <w:r>
        <w:rPr>
          <w:rFonts w:ascii="Bakbak One" w:hAnsi="Bakbak One"/>
          <w:b/>
          <w:color w:val="48994E"/>
          <w:sz w:val="40"/>
        </w:rPr>
        <w:t>Le formulaire d'entrée des cas d'usage de l'IA</w:t>
      </w:r>
    </w:p>
    <w:p>
      <w:r>
        <w:rPr>
          <w:rFonts w:ascii="Cairo" w:hAnsi="Cairo"/>
          <w:sz w:val="23"/>
        </w:rPr>
        <w:t>Instrument GRATUIT | Niveau 0 | AI GOVERNANCE CHAIN™</w:t>
      </w:r>
    </w:p>
    <w:p>
      <w:r>
        <w:rPr>
          <w:rFonts w:ascii="Cairo" w:hAnsi="Cairo"/>
          <w:sz w:val="23"/>
        </w:rPr>
        <w:t>La porte d'entrée de la gouvernance. Recensez chaque système d'IA avant sa mise en service, pour que rien ne soit gouverné trop tard.</w:t>
      </w:r>
    </w:p>
    <w:p>
      <w:pPr>
        <w:spacing w:before="200" w:after="60"/>
      </w:pPr>
      <w:r>
        <w:rPr>
          <w:rFonts w:ascii="Bakbak One" w:hAnsi="Bakbak One"/>
          <w:b/>
          <w:color w:val="48994E"/>
          <w:sz w:val="27"/>
        </w:rPr>
        <w:t>Abréviations et acronymes</w:t>
      </w:r>
    </w:p>
    <w:p>
      <w:r>
        <w:rPr>
          <w:rFonts w:ascii="Cairo" w:hAnsi="Cairo"/>
          <w:sz w:val="23"/>
        </w:rPr>
        <w:t>Aucune connaissance préalable n'est supposée. Chaque acronyme utilisé dans ce document est défini ici.</w:t>
      </w:r>
    </w:p>
    <w:p>
      <w:pPr>
        <w:pStyle w:val="ListBullet"/>
      </w:pPr>
      <w:r>
        <w:rPr>
          <w:rFonts w:ascii="Cairo" w:hAnsi="Cairo"/>
          <w:sz w:val="23"/>
        </w:rPr>
      </w:r>
      <w:r>
        <w:rPr>
          <w:rFonts w:ascii="Cairo" w:hAnsi="Cairo"/>
          <w:b/>
          <w:color w:val="2A5230"/>
          <w:sz w:val="23"/>
        </w:rPr>
        <w:t>IA : intelligence artificielle.</w:t>
      </w:r>
      <w:r>
        <w:rPr>
          <w:rFonts w:ascii="Cairo" w:hAnsi="Cairo"/>
          <w:sz w:val="23"/>
        </w:rPr>
        <w:t xml:space="preserve"> La capacité d'un système informatique à accomplir des tâches qui exigent normalement l'intelligence humaine.</w:t>
      </w:r>
    </w:p>
    <w:p>
      <w:pPr>
        <w:spacing w:before="200" w:after="60"/>
      </w:pPr>
      <w:r>
        <w:rPr>
          <w:rFonts w:ascii="Bakbak One" w:hAnsi="Bakbak One"/>
          <w:b/>
          <w:color w:val="48994E"/>
          <w:sz w:val="27"/>
        </w:rPr>
        <w:t>Le POURQUOI</w:t>
      </w:r>
    </w:p>
    <w:p>
      <w:r>
        <w:rPr>
          <w:rFonts w:ascii="Cairo" w:hAnsi="Cairo"/>
          <w:sz w:val="23"/>
        </w:rPr>
        <w:t>On ne gouverne pas ce que l'on ne voit pas. La défaillance de gouvernance la plus courante est un système d'IA qui atteint la production sans avoir été formellement examiné. Un formulaire d'entrée fait de « l'enregistrer d'abord » le réflexe par défaut.</w:t>
      </w:r>
    </w:p>
    <w:p>
      <w:pPr>
        <w:spacing w:before="200" w:after="60"/>
      </w:pPr>
      <w:r>
        <w:rPr>
          <w:rFonts w:ascii="Bakbak One" w:hAnsi="Bakbak One"/>
          <w:b/>
          <w:color w:val="48994E"/>
          <w:sz w:val="27"/>
        </w:rPr>
        <w:t>Le formulaire (à copier et à utiliser)</w:t>
      </w:r>
    </w:p>
    <w:p>
      <w:r>
        <w:rPr>
          <w:rFonts w:ascii="Cairo" w:hAnsi="Cairo"/>
          <w:b/>
          <w:color w:val="2A5230"/>
          <w:sz w:val="23"/>
        </w:rPr>
        <w:t xml:space="preserve">1. </w:t>
      </w:r>
      <w:r>
        <w:rPr>
          <w:rFonts w:ascii="Cairo" w:hAnsi="Cairo"/>
          <w:sz w:val="23"/>
        </w:rPr>
        <w:t>Nom du système et responsables</w:t>
      </w:r>
    </w:p>
    <w:p>
      <w:pPr>
        <w:pStyle w:val="ListBullet"/>
      </w:pPr>
      <w:r>
        <w:rPr>
          <w:rFonts w:ascii="Cairo" w:hAnsi="Cairo"/>
          <w:sz w:val="23"/>
        </w:rPr>
        <w:t>Nom du système ou du cas d'usage :</w:t>
      </w:r>
    </w:p>
    <w:p>
      <w:pPr>
        <w:pStyle w:val="ListBullet"/>
      </w:pPr>
      <w:r>
        <w:rPr>
          <w:rFonts w:ascii="Cairo" w:hAnsi="Cairo"/>
          <w:sz w:val="23"/>
        </w:rPr>
        <w:t>Responsable métier (personne redevable) :</w:t>
      </w:r>
    </w:p>
    <w:p>
      <w:pPr>
        <w:pStyle w:val="ListBullet"/>
      </w:pPr>
      <w:r>
        <w:rPr>
          <w:rFonts w:ascii="Cairo" w:hAnsi="Cairo"/>
          <w:sz w:val="23"/>
        </w:rPr>
        <w:t>Responsable technique :</w:t>
      </w:r>
    </w:p>
    <w:p>
      <w:r>
        <w:rPr>
          <w:rFonts w:ascii="Cairo" w:hAnsi="Cairo"/>
          <w:b/>
          <w:color w:val="2A5230"/>
          <w:sz w:val="23"/>
        </w:rPr>
        <w:t xml:space="preserve">2. </w:t>
      </w:r>
      <w:r>
        <w:rPr>
          <w:rFonts w:ascii="Cairo" w:hAnsi="Cairo"/>
          <w:sz w:val="23"/>
        </w:rPr>
        <w:t>Finalité</w:t>
      </w:r>
    </w:p>
    <w:p>
      <w:pPr>
        <w:pStyle w:val="ListBullet"/>
      </w:pPr>
      <w:r>
        <w:rPr>
          <w:rFonts w:ascii="Cairo" w:hAnsi="Cairo"/>
          <w:sz w:val="23"/>
        </w:rPr>
        <w:t>Quelle décision ou quelle tâche ce système soutient-il ?</w:t>
      </w:r>
    </w:p>
    <w:p>
      <w:pPr>
        <w:pStyle w:val="ListBullet"/>
      </w:pPr>
      <w:r>
        <w:rPr>
          <w:rFonts w:ascii="Cairo" w:hAnsi="Cairo"/>
          <w:sz w:val="23"/>
        </w:rPr>
        <w:t>Qui dépend de ses résultats ?</w:t>
      </w:r>
    </w:p>
    <w:p>
      <w:r>
        <w:rPr>
          <w:rFonts w:ascii="Cairo" w:hAnsi="Cairo"/>
          <w:b/>
          <w:color w:val="2A5230"/>
          <w:sz w:val="23"/>
        </w:rPr>
        <w:t xml:space="preserve">3. </w:t>
      </w:r>
      <w:r>
        <w:rPr>
          <w:rFonts w:ascii="Cairo" w:hAnsi="Cairo"/>
          <w:sz w:val="23"/>
        </w:rPr>
        <w:t>Construit ou acheté</w:t>
      </w:r>
    </w:p>
    <w:p>
      <w:pPr>
        <w:pStyle w:val="ListBullet"/>
      </w:pPr>
      <w:r>
        <w:rPr>
          <w:rFonts w:ascii="Cairo" w:hAnsi="Cairo"/>
          <w:sz w:val="23"/>
        </w:rPr>
        <w:t>Développé en interne, ou outil tiers ? Si acheté, nommez le fournisseur.</w:t>
      </w:r>
    </w:p>
    <w:p>
      <w:r>
        <w:rPr>
          <w:rFonts w:ascii="Cairo" w:hAnsi="Cairo"/>
          <w:b/>
          <w:color w:val="2A5230"/>
          <w:sz w:val="23"/>
        </w:rPr>
        <w:t xml:space="preserve">4. </w:t>
      </w:r>
      <w:r>
        <w:rPr>
          <w:rFonts w:ascii="Cairo" w:hAnsi="Cairo"/>
          <w:sz w:val="23"/>
        </w:rPr>
        <w:t>Données</w:t>
      </w:r>
    </w:p>
    <w:p>
      <w:pPr>
        <w:pStyle w:val="ListBullet"/>
      </w:pPr>
      <w:r>
        <w:rPr>
          <w:rFonts w:ascii="Cairo" w:hAnsi="Cairo"/>
          <w:sz w:val="23"/>
        </w:rPr>
        <w:t>Quelles données utilise-t-il ? Des données personnelles ou sensibles ? (oui/non)</w:t>
      </w:r>
    </w:p>
    <w:p>
      <w:r>
        <w:rPr>
          <w:rFonts w:ascii="Cairo" w:hAnsi="Cairo"/>
          <w:b/>
          <w:color w:val="2A5230"/>
          <w:sz w:val="23"/>
        </w:rPr>
        <w:t xml:space="preserve">5. </w:t>
      </w:r>
      <w:r>
        <w:rPr>
          <w:rFonts w:ascii="Cairo" w:hAnsi="Cairo"/>
          <w:sz w:val="23"/>
        </w:rPr>
        <w:t>Enjeux</w:t>
      </w:r>
    </w:p>
    <w:p>
      <w:pPr>
        <w:pStyle w:val="ListBullet"/>
      </w:pPr>
      <w:r>
        <w:rPr>
          <w:rFonts w:ascii="Cairo" w:hAnsi="Cairo"/>
          <w:sz w:val="23"/>
        </w:rPr>
        <w:t>Une erreur pourrait-elle affecter les droits, la sécurité, l'argent ou l'accès d'une personne à un service ? (oui/non)</w:t>
      </w:r>
    </w:p>
    <w:p>
      <w:pPr>
        <w:pStyle w:val="ListBullet"/>
      </w:pPr>
      <w:r>
        <w:rPr>
          <w:rFonts w:ascii="Cairo" w:hAnsi="Cairo"/>
          <w:sz w:val="23"/>
        </w:rPr>
        <w:t>Un humain examine-t-il le résultat avant qu'il n'agisse ? (oui/non)</w:t>
      </w:r>
    </w:p>
    <w:p>
      <w:r>
        <w:rPr>
          <w:rFonts w:ascii="Cairo" w:hAnsi="Cairo"/>
          <w:b/>
          <w:color w:val="2A5230"/>
          <w:sz w:val="23"/>
        </w:rPr>
        <w:t xml:space="preserve">6. </w:t>
      </w:r>
      <w:r>
        <w:rPr>
          <w:rFonts w:ascii="Cairo" w:hAnsi="Cairo"/>
          <w:sz w:val="23"/>
        </w:rPr>
        <w:t>Première lecture du risque</w:t>
      </w:r>
    </w:p>
    <w:p>
      <w:pPr>
        <w:pStyle w:val="ListBullet"/>
      </w:pPr>
      <w:r>
        <w:rPr>
          <w:rFonts w:ascii="Cairo" w:hAnsi="Cairo"/>
          <w:sz w:val="23"/>
        </w:rPr>
        <w:t>Sur la base des réponses ci-dessus, le niveau probable est : minimal / limité / haut risque / inacceptable.</w:t>
      </w:r>
    </w:p>
    <w:p>
      <w:pPr>
        <w:spacing w:before="200" w:after="60"/>
      </w:pPr>
      <w:r>
        <w:rPr>
          <w:rFonts w:ascii="Bakbak One" w:hAnsi="Bakbak One"/>
          <w:b/>
          <w:color w:val="48994E"/>
          <w:sz w:val="27"/>
        </w:rPr>
        <w:t>Que faire d'un formulaire complété</w:t>
      </w:r>
    </w:p>
    <w:p>
      <w:pPr>
        <w:pStyle w:val="ListBullet"/>
      </w:pPr>
      <w:r>
        <w:rPr>
          <w:rFonts w:ascii="Cairo" w:hAnsi="Cairo"/>
          <w:sz w:val="23"/>
        </w:rPr>
        <w:t>Minimal ou limité : enregistrez-le et poursuivez.</w:t>
      </w:r>
    </w:p>
    <w:p>
      <w:pPr>
        <w:pStyle w:val="ListBullet"/>
      </w:pPr>
      <w:r>
        <w:rPr>
          <w:rFonts w:ascii="Cairo" w:hAnsi="Cairo"/>
          <w:sz w:val="23"/>
        </w:rPr>
        <w:t>Haut risque : orientez-le vers un examen complet avant le lancement.</w:t>
      </w:r>
    </w:p>
    <w:p>
      <w:pPr>
        <w:pStyle w:val="ListBullet"/>
      </w:pPr>
      <w:r>
        <w:rPr>
          <w:rFonts w:ascii="Cairo" w:hAnsi="Cairo"/>
          <w:sz w:val="23"/>
        </w:rPr>
        <w:t>Inacceptable : arrêtez.</w:t>
      </w:r>
    </w:p>
    <w:p>
      <w:pPr>
        <w:spacing w:before="200" w:after="60"/>
      </w:pPr>
      <w:r>
        <w:rPr>
          <w:rFonts w:ascii="Bakbak One" w:hAnsi="Bakbak One"/>
          <w:b/>
          <w:color w:val="48994E"/>
          <w:sz w:val="27"/>
        </w:rPr>
        <w:t>Où s'arrête le gratuit et où commence le payant</w:t>
      </w:r>
    </w:p>
    <w:p>
      <w:pPr>
        <w:pStyle w:val="ListBullet"/>
      </w:pPr>
      <w:r>
        <w:rPr>
          <w:rFonts w:ascii="Cairo" w:hAnsi="Cairo"/>
          <w:sz w:val="23"/>
        </w:rPr>
        <w:t>GRATUIT (le quoi et le pourquoi) : ce formulaire d'entrée et sa logique d'orientation.</w:t>
      </w:r>
    </w:p>
    <w:p>
      <w:pPr>
        <w:pStyle w:val="ListBullet"/>
      </w:pPr>
      <w:r>
        <w:rPr>
          <w:rFonts w:ascii="Cairo" w:hAnsi="Cairo"/>
          <w:sz w:val="23"/>
        </w:rPr>
        <w:t>PAYANT (le comment et l'avec-vous) : le flux complet de l'entrée au registre, le tri automatisé et l'inventaire central dans le Système d'exploitation de la gouvernance de l'IA (niveau C).</w:t>
      </w:r>
    </w:p>
    <w:p>
      <w:pPr>
        <w:spacing w:before="280"/>
        <w:keepNext/>
        <w:pBdr>
          <w:bottom w:val="single" w:sz="6" w:space="4" w:color="BDE051"/>
        </w:pBdr>
      </w:pPr>
    </w:p>
    <w:p>
      <w:pPr>
        <w:keepNext/>
        <w:spacing w:after="0"/>
      </w:pPr>
      <w:r>
        <w:rPr>
          <w:rFonts w:ascii="Cairo" w:hAnsi="Cairo"/>
          <w:color w:val="2A5230"/>
          <w:sz w:val="19"/>
        </w:rPr>
        <w:t>AI GOVERNANCE CHAIN™</w:t>
      </w:r>
    </w:p>
    <w:p>
      <w:pPr>
        <w:keepNext/>
        <w:spacing w:after="0"/>
      </w:pPr>
      <w:r>
        <w:rPr>
          <w:rFonts w:ascii="Cairo" w:hAnsi="Cairo"/>
          <w:color w:val="2A5230"/>
          <w:sz w:val="19"/>
        </w:rPr>
        <w:t>Cadre de gouvernance de l'IA</w:t>
      </w:r>
    </w:p>
    <w:p>
      <w:pPr>
        <w:keepNext/>
        <w:spacing w:after="0"/>
      </w:pPr>
      <w:r>
        <w:rPr>
          <w:rFonts w:ascii="Cairo" w:hAnsi="Cairo"/>
          <w:color w:val="2A5230"/>
          <w:sz w:val="19"/>
        </w:rPr>
        <w:t>© 2026 Mathieu K. Gouanou. Tous droits réservés.</w:t>
      </w:r>
    </w:p>
    <w:p>
      <w:pPr>
        <w:keepNext/>
        <w:spacing w:after="0"/>
      </w:pPr>
      <w:r>
        <w:rPr>
          <w:rFonts w:ascii="Cairo" w:hAnsi="Cairo"/>
          <w:color w:val="2A5230"/>
          <w:sz w:val="19"/>
        </w:rPr>
        <w:t>Membre du conseil consultatif de la Harvard Business Review.</w:t>
      </w:r>
    </w:p>
    <w:p>
      <w:pPr>
        <w:spacing w:after="0"/>
      </w:pPr>
      <w:r>
        <w:rPr>
          <w:rFonts w:ascii="Cairo" w:hAnsi="Cairo"/>
          <w:color w:val="2A5230"/>
          <w:sz w:val="19"/>
        </w:rPr>
        <w:t>Norme documentaire : une gouvernance de l'IA centrée sur l'humain.</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8"/>
      </w:rPr>
      <w:fldChar w:fldCharType="begin"/>
      <w:instrText xml:space="preserve">PAGE</w:instrText>
      <w:fldChar w:fldCharType="end"/>
    </w:r>
    <w:r>
      <w:rPr>
        <w:rFonts w:ascii="Cairo" w:hAnsi="Cairo"/>
        <w:color w:val="48994E"/>
        <w:sz w:val="18"/>
      </w:rPr>
      <w:t>/</w:t>
    </w:r>
    <w:r>
      <w:rPr>
        <w:rFonts w:ascii="Cairo" w:hAnsi="Cairo"/>
        <w:color w:val="48994E"/>
        <w:sz w:val="18"/>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36" w:lineRule="auto"/>
    </w:pPr>
    <w:rPr>
      <w:rFonts w:ascii="Cairo" w:hAnsi="Cairo"/>
      <w:color w:val="1E3D21"/>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