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bottom w:val="single" w:sz="18" w:space="4" w:color="BDE051"/>
        </w:pBdr>
      </w:pPr>
      <w:r>
        <w:rPr>
          <w:rFonts w:ascii="Bakbak One" w:hAnsi="Bakbak One"/>
          <w:b/>
          <w:color w:val="48994E"/>
          <w:sz w:val="40"/>
        </w:rPr>
        <w:t>Le guide de décision de la supervision humaine</w:t>
      </w:r>
    </w:p>
    <w:p>
      <w:r>
        <w:rPr>
          <w:rFonts w:ascii="Cairo" w:hAnsi="Cairo"/>
          <w:sz w:val="23"/>
        </w:rPr>
        <w:t>Instrument GRATUIT | Niveau 0 | AI GOVERNANCE CHAIN™</w:t>
      </w:r>
    </w:p>
    <w:p>
      <w:r>
        <w:rPr>
          <w:rFonts w:ascii="Cairo" w:hAnsi="Cairo"/>
          <w:sz w:val="23"/>
        </w:rPr>
        <w:t>Quand un humain doit garder le contrôle d'une décision d'IA, et comment concevoir ce contrôle pour qu'il soit réel, et non une simple formalité.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Abréviations et acronymes</w:t>
      </w:r>
    </w:p>
    <w:p>
      <w:r>
        <w:rPr>
          <w:rFonts w:ascii="Cairo" w:hAnsi="Cairo"/>
          <w:sz w:val="23"/>
        </w:rPr>
        <w:t>Aucune connaissance préalable n'est supposée. Chaque acronyme utilisé dans ce document est défini ici.</w:t>
      </w:r>
    </w:p>
    <w:p>
      <w:pPr>
        <w:pStyle w:val="ListBullet"/>
      </w:pPr>
      <w:r>
        <w:rPr>
          <w:rFonts w:ascii="Cairo" w:hAnsi="Cairo"/>
          <w:sz w:val="23"/>
        </w:rPr>
      </w:r>
      <w:r>
        <w:rPr>
          <w:rFonts w:ascii="Cairo" w:hAnsi="Cairo"/>
          <w:b/>
          <w:color w:val="2A5230"/>
          <w:sz w:val="23"/>
        </w:rPr>
        <w:t>IA : intelligence artificielle.</w:t>
      </w:r>
      <w:r>
        <w:rPr>
          <w:rFonts w:ascii="Cairo" w:hAnsi="Cairo"/>
          <w:sz w:val="23"/>
        </w:rPr>
        <w:t xml:space="preserve"> La capacité d'un système informatique à accomplir des tâches qui exigent normalement l'intelligence humaine.</w:t>
      </w:r>
    </w:p>
    <w:p>
      <w:pPr>
        <w:pStyle w:val="ListBullet"/>
      </w:pPr>
      <w:r>
        <w:rPr>
          <w:rFonts w:ascii="Cairo" w:hAnsi="Cairo"/>
          <w:sz w:val="23"/>
        </w:rPr>
      </w:r>
      <w:r>
        <w:rPr>
          <w:rFonts w:ascii="Cairo" w:hAnsi="Cairo"/>
          <w:b/>
          <w:color w:val="2A5230"/>
          <w:sz w:val="23"/>
        </w:rPr>
        <w:t>UE : Union européenne.</w:t>
      </w:r>
      <w:r>
        <w:rPr>
          <w:rFonts w:ascii="Cairo" w:hAnsi="Cairo"/>
          <w:sz w:val="23"/>
        </w:rPr>
        <w:t xml:space="preserve"> L'union politique et économique dont le règlement sur l'IA (règlement (UE) 2024/1689) fixe les obligations applicables aux systèmes d'IA.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 POURQUOI</w:t>
      </w:r>
    </w:p>
    <w:p>
      <w:r>
        <w:rPr>
          <w:rFonts w:ascii="Cairo" w:hAnsi="Cairo"/>
          <w:sz w:val="23"/>
        </w:rPr>
        <w:t>Le règlement européen sur l'IA exige une supervision humaine effective pour les systèmes d'IA à haut risque. Mais « un humain est impliqué » n'est pas la même chose que « un humain contrôle ». Ce guide vous aide à faire la différence et à concevoir une supervision qui fonctionne vraiment.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Trois modèles de contrôle humain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val="clear" w:color="auto" w:fill="48994E"/>
          </w:tcPr>
          <w:p>
            <w:r/>
            <w:r>
              <w:rPr>
                <w:rFonts w:ascii="Cairo" w:hAnsi="Cairo"/>
                <w:b/>
                <w:color w:val="FFFFFF"/>
                <w:sz w:val="21"/>
              </w:rPr>
              <w:t>Modèle</w:t>
            </w:r>
          </w:p>
        </w:tc>
        <w:tc>
          <w:tcPr>
            <w:tcW w:type="dxa" w:w="3362"/>
            <w:shd w:val="clear" w:color="auto" w:fill="48994E"/>
          </w:tcPr>
          <w:p>
            <w:r/>
            <w:r>
              <w:rPr>
                <w:rFonts w:ascii="Cairo" w:hAnsi="Cairo"/>
                <w:b/>
                <w:color w:val="FFFFFF"/>
                <w:sz w:val="21"/>
              </w:rPr>
              <w:t>Ce que cela signifie</w:t>
            </w:r>
          </w:p>
        </w:tc>
        <w:tc>
          <w:tcPr>
            <w:tcW w:type="dxa" w:w="3362"/>
            <w:shd w:val="clear" w:color="auto" w:fill="48994E"/>
          </w:tcPr>
          <w:p>
            <w:r/>
            <w:r>
              <w:rPr>
                <w:rFonts w:ascii="Cairo" w:hAnsi="Cairo"/>
                <w:b/>
                <w:color w:val="FFFFFF"/>
                <w:sz w:val="21"/>
              </w:rPr>
              <w:t>À utiliser quand</w:t>
            </w:r>
          </w:p>
        </w:tc>
      </w:tr>
      <w:tr>
        <w:tc>
          <w:tcPr>
            <w:tcW w:type="dxa" w:w="3362"/>
          </w:tcPr>
          <w:p>
            <w:r/>
            <w:r>
              <w:rPr>
                <w:rFonts w:ascii="Cairo" w:hAnsi="Cairo"/>
                <w:color w:val="1E3D21"/>
                <w:sz w:val="21"/>
              </w:rPr>
              <w:t>L'humain dans la boucle</w:t>
            </w:r>
          </w:p>
        </w:tc>
        <w:tc>
          <w:tcPr>
            <w:tcW w:type="dxa" w:w="3362"/>
          </w:tcPr>
          <w:p>
            <w:r/>
            <w:r>
              <w:rPr>
                <w:rFonts w:ascii="Cairo" w:hAnsi="Cairo"/>
                <w:color w:val="1E3D21"/>
                <w:sz w:val="21"/>
              </w:rPr>
              <w:t>Une personne approuve chaque action avant qu'elle ne se produise.</w:t>
            </w:r>
          </w:p>
        </w:tc>
        <w:tc>
          <w:tcPr>
            <w:tcW w:type="dxa" w:w="3362"/>
          </w:tcPr>
          <w:p>
            <w:r/>
            <w:r>
              <w:rPr>
                <w:rFonts w:ascii="Cairo" w:hAnsi="Cairo"/>
                <w:color w:val="1E3D21"/>
                <w:sz w:val="21"/>
              </w:rPr>
              <w:t>Les enjeux sont élevés, le volume est faible.</w:t>
            </w:r>
          </w:p>
        </w:tc>
      </w:tr>
      <w:tr>
        <w:tc>
          <w:tcPr>
            <w:tcW w:type="dxa" w:w="3362"/>
          </w:tcPr>
          <w:p>
            <w:r/>
            <w:r>
              <w:rPr>
                <w:rFonts w:ascii="Cairo" w:hAnsi="Cairo"/>
                <w:color w:val="1E3D21"/>
                <w:sz w:val="21"/>
              </w:rPr>
              <w:t>L'humain sur la boucle</w:t>
            </w:r>
          </w:p>
        </w:tc>
        <w:tc>
          <w:tcPr>
            <w:tcW w:type="dxa" w:w="3362"/>
          </w:tcPr>
          <w:p>
            <w:r/>
            <w:r>
              <w:rPr>
                <w:rFonts w:ascii="Cairo" w:hAnsi="Cairo"/>
                <w:color w:val="1E3D21"/>
                <w:sz w:val="21"/>
              </w:rPr>
              <w:t>Le système agit, une personne surveille et peut intervenir.</w:t>
            </w:r>
          </w:p>
        </w:tc>
        <w:tc>
          <w:tcPr>
            <w:tcW w:type="dxa" w:w="3362"/>
          </w:tcPr>
          <w:p>
            <w:r/>
            <w:r>
              <w:rPr>
                <w:rFonts w:ascii="Cairo" w:hAnsi="Cairo"/>
                <w:color w:val="1E3D21"/>
                <w:sz w:val="21"/>
              </w:rPr>
              <w:t>Les enjeux sont modérés, le volume est élevé.</w:t>
            </w:r>
          </w:p>
        </w:tc>
      </w:tr>
      <w:tr>
        <w:tc>
          <w:tcPr>
            <w:tcW w:type="dxa" w:w="3362"/>
          </w:tcPr>
          <w:p>
            <w:r/>
            <w:r>
              <w:rPr>
                <w:rFonts w:ascii="Cairo" w:hAnsi="Cairo"/>
                <w:color w:val="1E3D21"/>
                <w:sz w:val="21"/>
              </w:rPr>
              <w:t>L'humain aux commandes</w:t>
            </w:r>
          </w:p>
        </w:tc>
        <w:tc>
          <w:tcPr>
            <w:tcW w:type="dxa" w:w="3362"/>
          </w:tcPr>
          <w:p>
            <w:r/>
            <w:r>
              <w:rPr>
                <w:rFonts w:ascii="Cairo" w:hAnsi="Cairo"/>
                <w:color w:val="1E3D21"/>
                <w:sz w:val="21"/>
              </w:rPr>
              <w:t>Une personne fixe les règles et peut arrêter le système à tout moment.</w:t>
            </w:r>
          </w:p>
        </w:tc>
        <w:tc>
          <w:tcPr>
            <w:tcW w:type="dxa" w:w="3362"/>
          </w:tcPr>
          <w:p>
            <w:r/>
            <w:r>
              <w:rPr>
                <w:rFonts w:ascii="Cairo" w:hAnsi="Cairo"/>
                <w:color w:val="1E3D21"/>
                <w:sz w:val="21"/>
              </w:rPr>
              <w:t>Toujours, comme filet de sécurité.</w:t>
            </w:r>
          </w:p>
        </w:tc>
      </w:tr>
    </w:tbl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Les cinq tests d'une supervision réelle</w:t>
      </w:r>
    </w:p>
    <w:p>
      <w:r>
        <w:rPr>
          <w:rFonts w:ascii="Cairo" w:hAnsi="Cairo"/>
          <w:b/>
          <w:color w:val="2A5230"/>
          <w:sz w:val="23"/>
        </w:rPr>
        <w:t xml:space="preserve">1. </w:t>
      </w:r>
      <w:r>
        <w:rPr>
          <w:rFonts w:ascii="Cairo" w:hAnsi="Cairo"/>
          <w:sz w:val="23"/>
        </w:rPr>
        <w:t>Le réviseur a l'autorité de contourner ou d'arrêter le système.</w:t>
      </w:r>
    </w:p>
    <w:p>
      <w:r>
        <w:rPr>
          <w:rFonts w:ascii="Cairo" w:hAnsi="Cairo"/>
          <w:b/>
          <w:color w:val="2A5230"/>
          <w:sz w:val="23"/>
        </w:rPr>
        <w:t xml:space="preserve">2. </w:t>
      </w:r>
      <w:r>
        <w:rPr>
          <w:rFonts w:ascii="Cairo" w:hAnsi="Cairo"/>
          <w:sz w:val="23"/>
        </w:rPr>
        <w:t>Le réviseur dispose de l'information nécessaire pour juger le résultat.</w:t>
      </w:r>
    </w:p>
    <w:p>
      <w:r>
        <w:rPr>
          <w:rFonts w:ascii="Cairo" w:hAnsi="Cairo"/>
          <w:b/>
          <w:color w:val="2A5230"/>
          <w:sz w:val="23"/>
        </w:rPr>
        <w:t xml:space="preserve">3. </w:t>
      </w:r>
      <w:r>
        <w:rPr>
          <w:rFonts w:ascii="Cairo" w:hAnsi="Cairo"/>
          <w:sz w:val="23"/>
        </w:rPr>
        <w:t>Le réviseur a le temps d'examiner (sans pression pour approuver en quelques secondes).</w:t>
      </w:r>
    </w:p>
    <w:p>
      <w:r>
        <w:rPr>
          <w:rFonts w:ascii="Cairo" w:hAnsi="Cairo"/>
          <w:b/>
          <w:color w:val="2A5230"/>
          <w:sz w:val="23"/>
        </w:rPr>
        <w:t xml:space="preserve">4. </w:t>
      </w:r>
      <w:r>
        <w:rPr>
          <w:rFonts w:ascii="Cairo" w:hAnsi="Cairo"/>
          <w:sz w:val="23"/>
        </w:rPr>
        <w:t>Le réviseur est compétent dans le domaine.</w:t>
      </w:r>
    </w:p>
    <w:p>
      <w:r>
        <w:rPr>
          <w:rFonts w:ascii="Cairo" w:hAnsi="Cairo"/>
          <w:b/>
          <w:color w:val="2A5230"/>
          <w:sz w:val="23"/>
        </w:rPr>
        <w:t xml:space="preserve">5. </w:t>
      </w:r>
      <w:r>
        <w:rPr>
          <w:rFonts w:ascii="Cairo" w:hAnsi="Cairo"/>
          <w:sz w:val="23"/>
        </w:rPr>
        <w:t>Le réviseur n'est pas pénalisé lorsqu'il conteste le système.</w:t>
      </w:r>
    </w:p>
    <w:p>
      <w:r>
        <w:rPr>
          <w:rFonts w:ascii="Cairo" w:hAnsi="Cairo"/>
          <w:sz w:val="23"/>
        </w:rPr>
        <w:t>Une supervision qui échoue à l'un de ces tests n'est pas une supervision. C'est un tampon.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Où s'arrête le gratuit et où commence le payant</w:t>
      </w:r>
    </w:p>
    <w:p>
      <w:pPr>
        <w:pStyle w:val="ListBullet"/>
      </w:pPr>
      <w:r>
        <w:rPr>
          <w:rFonts w:ascii="Cairo" w:hAnsi="Cairo"/>
          <w:sz w:val="23"/>
        </w:rPr>
        <w:t>GRATUIT (le quoi et le pourquoi) : les trois modèles et les cinq tests.</w:t>
      </w:r>
    </w:p>
    <w:p>
      <w:pPr>
        <w:pStyle w:val="ListBullet"/>
      </w:pPr>
      <w:r>
        <w:rPr>
          <w:rFonts w:ascii="Cairo" w:hAnsi="Cairo"/>
          <w:sz w:val="23"/>
        </w:rPr>
        <w:t>PAYANT (le comment) : les schémas de supervision par point de contrôle architectural dans le Plan directeur de gouvernance de l'architecture de l'IA (niveau C).</w:t>
      </w:r>
    </w:p>
    <w:p>
      <w:pPr>
        <w:spacing w:before="280"/>
        <w:keepNext/>
        <w:pBdr>
          <w:bottom w:val="single" w:sz="6" w:space="4" w:color="BDE051"/>
        </w:pBdr>
      </w:pPr>
    </w:p>
    <w:p>
      <w:pPr>
        <w:keepNext/>
        <w:spacing w:after="0"/>
      </w:pPr>
      <w:r>
        <w:rPr>
          <w:rFonts w:ascii="Cairo" w:hAnsi="Cairo"/>
          <w:color w:val="2A5230"/>
          <w:sz w:val="19"/>
        </w:rPr>
        <w:t>AI GOVERNANCE CHAIN™</w:t>
      </w:r>
    </w:p>
    <w:p>
      <w:pPr>
        <w:keepNext/>
        <w:spacing w:after="0"/>
      </w:pPr>
      <w:r>
        <w:rPr>
          <w:rFonts w:ascii="Cairo" w:hAnsi="Cairo"/>
          <w:color w:val="2A5230"/>
          <w:sz w:val="19"/>
        </w:rPr>
        <w:t>Cadre de gouvernance de l'IA</w:t>
      </w:r>
    </w:p>
    <w:p>
      <w:pPr>
        <w:keepNext/>
        <w:spacing w:after="0"/>
      </w:pPr>
      <w:r>
        <w:rPr>
          <w:rFonts w:ascii="Cairo" w:hAnsi="Cairo"/>
          <w:color w:val="2A5230"/>
          <w:sz w:val="19"/>
        </w:rPr>
        <w:t>© 2026 Mathieu K. Gouanou. Tous droits réservés.</w:t>
      </w:r>
    </w:p>
    <w:p>
      <w:pPr>
        <w:keepNext/>
        <w:spacing w:after="0"/>
      </w:pPr>
      <w:r>
        <w:rPr>
          <w:rFonts w:ascii="Cairo" w:hAnsi="Cairo"/>
          <w:color w:val="2A5230"/>
          <w:sz w:val="19"/>
        </w:rPr>
        <w:t>Membre du conseil consultatif de la Harvard Business Review.</w:t>
      </w:r>
    </w:p>
    <w:p>
      <w:pPr>
        <w:spacing w:after="0"/>
      </w:pPr>
      <w:r>
        <w:rPr>
          <w:rFonts w:ascii="Cairo" w:hAnsi="Cairo"/>
          <w:color w:val="2A5230"/>
          <w:sz w:val="19"/>
        </w:rPr>
        <w:t>Norme documentaire : une gouvernance de l'IA centrée sur l'humain.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8"/>
      </w:rPr>
      <w:t>/</w:t>
    </w:r>
    <w:r>
      <w:rPr>
        <w:rFonts w:ascii="Cairo" w:hAnsi="Cairo"/>
        <w:color w:val="48994E"/>
        <w:sz w:val="18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36" w:lineRule="auto"/>
    </w:pPr>
    <w:rPr>
      <w:rFonts w:ascii="Cairo" w:hAnsi="Cairo"/>
      <w:color w:val="1E3D2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