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1E3D21"/>
          <w:sz w:val="40"/>
        </w:rPr>
        <w:t>La liste de contrôle de préparation à l'assurance IA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Actif GRATUIT | Niveau 0 | AI GOVERNANCE CHAIN™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Votre gouvernance survivrait-elle à un audit indépendant aujourd'hui ? Vingt vérifications, quinze minutes, une réponse honnête.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Aucune connaissance préalable n'est supposée. Chaque sigle utilisé dans ce document est défini ici.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: intelligence artificielle.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ISO/IEC 42001 : la première norme certifiable de système de management de l'IA, publiée en décembre 2023 par l'Organisation internationale de normalisation et la Commission électrotechnique internationale.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POURQUOI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Une gouvernance que vous ne pouvez pas prouver n'existe pas dans un audit. L'assurance ne demande pas si vous faites les choses ; elle demande si vous pouvez le démontrer avec des preuves.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Les vingt vérifications, en quatre sections de cinq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Section A : la preuve existe</w:t>
      </w:r>
    </w:p>
    <w:p>
      <w:r>
        <w:rPr>
          <w:rFonts w:ascii="Cairo" w:hAnsi="Cairo"/>
          <w:color w:val="1E3D21"/>
          <w:sz w:val="23"/>
        </w:rPr>
        <w:t>1. Chaque système d'IA figure dans un inventaire daté.</w:t>
      </w:r>
    </w:p>
    <w:p>
      <w:r>
        <w:rPr>
          <w:rFonts w:ascii="Cairo" w:hAnsi="Cairo"/>
          <w:color w:val="1E3D21"/>
          <w:sz w:val="23"/>
        </w:rPr>
        <w:t>2. Chaque classification de risque est documentée avec sa justification.</w:t>
      </w:r>
    </w:p>
    <w:p>
      <w:r>
        <w:rPr>
          <w:rFonts w:ascii="Cairo" w:hAnsi="Cairo"/>
          <w:color w:val="1E3D21"/>
          <w:sz w:val="23"/>
        </w:rPr>
        <w:t>3. Chaque décision de gouvernance importante laisse une trace écrite.</w:t>
      </w:r>
    </w:p>
    <w:p>
      <w:r>
        <w:rPr>
          <w:rFonts w:ascii="Cairo" w:hAnsi="Cairo"/>
          <w:color w:val="1E3D21"/>
          <w:sz w:val="23"/>
        </w:rPr>
        <w:t>4. Les tests (biais, robustesse, sécurité) produisent des rapports conservés.</w:t>
      </w:r>
    </w:p>
    <w:p>
      <w:r>
        <w:rPr>
          <w:rFonts w:ascii="Cairo" w:hAnsi="Cairo"/>
          <w:color w:val="1E3D21"/>
          <w:sz w:val="23"/>
        </w:rPr>
        <w:t>5. Les incidents et quasi-incidents sont consignés.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Section B : la preuve est indépendante</w:t>
      </w:r>
    </w:p>
    <w:p>
      <w:r>
        <w:rPr>
          <w:rFonts w:ascii="Cairo" w:hAnsi="Cairo"/>
          <w:color w:val="1E3D21"/>
          <w:sz w:val="23"/>
        </w:rPr>
        <w:t>6. Quelqu'un d'autre que l'auteur revoit les évaluations de risque.</w:t>
      </w:r>
    </w:p>
    <w:p>
      <w:r>
        <w:rPr>
          <w:rFonts w:ascii="Cairo" w:hAnsi="Cairo"/>
          <w:color w:val="1E3D21"/>
          <w:sz w:val="23"/>
        </w:rPr>
        <w:t>7. Les tests critiques ne sont pas réalisés uniquement par l'équipe qui a construit le système.</w:t>
      </w:r>
    </w:p>
    <w:p>
      <w:r>
        <w:rPr>
          <w:rFonts w:ascii="Cairo" w:hAnsi="Cairo"/>
          <w:color w:val="1E3D21"/>
          <w:sz w:val="23"/>
        </w:rPr>
        <w:t>8. Le comité de revue peut refuser un lancement, et l'a déjà fait ou pourrait le faire.</w:t>
      </w:r>
    </w:p>
    <w:p>
      <w:r>
        <w:rPr>
          <w:rFonts w:ascii="Cairo" w:hAnsi="Cairo"/>
          <w:color w:val="1E3D21"/>
          <w:sz w:val="23"/>
        </w:rPr>
        <w:t>9. Les fournisseurs fournissent des preuves, pas seulement des promesses.</w:t>
      </w:r>
    </w:p>
    <w:p>
      <w:r>
        <w:rPr>
          <w:rFonts w:ascii="Cairo" w:hAnsi="Cairo"/>
          <w:color w:val="1E3D21"/>
          <w:sz w:val="23"/>
        </w:rPr>
        <w:t>10. Un regard externe (revue par des pairs ou audit) intervient à échéance régulière.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Section C : la preuve est à jour</w:t>
      </w:r>
    </w:p>
    <w:p>
      <w:r>
        <w:rPr>
          <w:rFonts w:ascii="Cairo" w:hAnsi="Cairo"/>
          <w:color w:val="1E3D21"/>
          <w:sz w:val="23"/>
        </w:rPr>
        <w:t>11. L'inventaire a été mis à jour au cours du dernier trimestre.</w:t>
      </w:r>
    </w:p>
    <w:p>
      <w:r>
        <w:rPr>
          <w:rFonts w:ascii="Cairo" w:hAnsi="Cairo"/>
          <w:color w:val="1E3D21"/>
          <w:sz w:val="23"/>
        </w:rPr>
        <w:t>12. Les évaluations de risque sont revues après tout changement significatif.</w:t>
      </w:r>
    </w:p>
    <w:p>
      <w:r>
        <w:rPr>
          <w:rFonts w:ascii="Cairo" w:hAnsi="Cairo"/>
          <w:color w:val="1E3D21"/>
          <w:sz w:val="23"/>
        </w:rPr>
        <w:t>13. Le score de santé de la gouvernance est relancé à cadence fixe.</w:t>
      </w:r>
    </w:p>
    <w:p>
      <w:r>
        <w:rPr>
          <w:rFonts w:ascii="Cairo" w:hAnsi="Cairo"/>
          <w:color w:val="1E3D21"/>
          <w:sz w:val="23"/>
        </w:rPr>
        <w:t>14. Les contrôles suivent les évolutions réglementaires.</w:t>
      </w:r>
    </w:p>
    <w:p>
      <w:r>
        <w:rPr>
          <w:rFonts w:ascii="Cairo" w:hAnsi="Cairo"/>
          <w:color w:val="1E3D21"/>
          <w:sz w:val="23"/>
        </w:rPr>
        <w:t>15. Les documents portent des dates et des versions.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Section D : la preuve est utilisable</w:t>
      </w:r>
    </w:p>
    <w:p>
      <w:r>
        <w:rPr>
          <w:rFonts w:ascii="Cairo" w:hAnsi="Cairo"/>
          <w:color w:val="1E3D21"/>
          <w:sz w:val="23"/>
        </w:rPr>
        <w:t>16. Un auditeur trouverait les documents clés en moins d'une journée.</w:t>
      </w:r>
    </w:p>
    <w:p>
      <w:r>
        <w:rPr>
          <w:rFonts w:ascii="Cairo" w:hAnsi="Cairo"/>
          <w:color w:val="1E3D21"/>
          <w:sz w:val="23"/>
        </w:rPr>
        <w:t>17. Les rôles et responsabilités sont écrits et à jour.</w:t>
      </w:r>
    </w:p>
    <w:p>
      <w:r>
        <w:rPr>
          <w:rFonts w:ascii="Cairo" w:hAnsi="Cairo"/>
          <w:color w:val="1E3D21"/>
          <w:sz w:val="23"/>
        </w:rPr>
        <w:t>18. Le conseil reçoit un reporting régulier fondé sur des preuves.</w:t>
      </w:r>
    </w:p>
    <w:p>
      <w:r>
        <w:rPr>
          <w:rFonts w:ascii="Cairo" w:hAnsi="Cairo"/>
          <w:color w:val="1E3D21"/>
          <w:sz w:val="23"/>
        </w:rPr>
        <w:t>19. La correspondance entre vos contrôles et les référentiels (ISO/IEC 42001, le règlement européen sur l'IA) est écrite.</w:t>
      </w:r>
    </w:p>
    <w:p>
      <w:r>
        <w:rPr>
          <w:rFonts w:ascii="Cairo" w:hAnsi="Cairo"/>
          <w:color w:val="1E3D21"/>
          <w:sz w:val="23"/>
        </w:rPr>
        <w:t>20. Vous pourriez répondre à une lettre de régulateur avec des documents, pas des explications.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Lecture du score (un point par vérification)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16 à 20 : prêt pour l'assurance. Passez à la certification.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10 à 15 : fondations réelles, preuves incomplètes. Comblez la section la plus faible.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0 à 9 : la gouvernance existe peut-être, mais elle est invisible pour un auditeur. Commencez par la section 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GRATUIT (le quoi et le pourquoi) : ces vingt vérifications et leur lecture.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PAYANT (le comment) : le système de preuves, le protocole d'autoévaluation, le dossier prêt pour l'audit et la préparation à ISO/IEC 42001 dans le AI Assurance and Audit Kit (Niveau C).</w:t>
      </w:r>
    </w:p>
    <w:p>
      <w:pPr>
        <w:pBdr>
          <w:top w:val="single" w:sz="6" w:space="4" w:color="BDE051"/>
        </w:pBdr>
      </w:pPr>
      <w:r>
        <w:rPr>
          <w:rFonts w:ascii="Cairo" w:hAnsi="Cairo"/>
          <w:color w:val="48994E"/>
          <w:sz w:val="19"/>
        </w:rPr>
        <w:t>AI GOVERNANCE CHAIN™</w:t>
      </w:r>
    </w:p>
    <w:p>
      <w:r>
        <w:rPr>
          <w:rFonts w:ascii="Cairo" w:hAnsi="Cairo"/>
          <w:color w:val="48994E"/>
          <w:sz w:val="19"/>
        </w:rPr>
        <w:t>Cadre de gouvernance de l'IA</w:t>
      </w:r>
    </w:p>
    <w:p>
      <w:r>
        <w:rPr>
          <w:rFonts w:ascii="Cairo" w:hAnsi="Cairo"/>
          <w:color w:val="48994E"/>
          <w:sz w:val="19"/>
        </w:rPr>
        <w:t>© 2026 Mathieu K. Gouanou. Tous droits réservés.</w:t>
      </w:r>
    </w:p>
    <w:p>
      <w:r>
        <w:rPr>
          <w:rFonts w:ascii="Cairo" w:hAnsi="Cairo"/>
          <w:color w:val="48994E"/>
          <w:sz w:val="19"/>
        </w:rPr>
        <w:t>Membre du conseil consultatif de la Harvard Business Review.</w:t>
      </w:r>
    </w:p>
    <w:p>
      <w:r>
        <w:rPr>
          <w:rFonts w:ascii="Cairo" w:hAnsi="Cairo"/>
          <w:color w:val="48994E"/>
          <w:sz w:val="19"/>
        </w:rPr>
        <w:t>Standard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