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Bakbak One" w:hAnsi="Bakbak One"/>
          <w:b/>
          <w:color w:val="1E3D21"/>
          <w:sz w:val="40"/>
        </w:rPr>
        <w:t>Le tableau RACI de la gouvernance de l'IA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Actif GRATUIT | Niveau 0 | AI GOVERNANCE CHAIN™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Qui est responsable de quoi. La couche organisationnelle que la plupart des cadres oublient, et la raison pour laquelle la gouvernance s'enlise.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Abréviations et acronymes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Aucune connaissance préalable n'est supposée. Chaque sigle utilisé dans ce document est défini ici.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IA : intelligence artificielle.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RACI : Responsable de l'exécution, Autorité redevable, Consulté, Informé. Une matrice qui attribue chaque activité à des personnes nommées.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CAIO : Chief AI Officer, le dirigeant responsable de l'intelligence artificielle.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Le POURQUOI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La gouvernance n'échoue pas parce que la politique est mauvaise, mais parce que personne n'en est propriétaire. Une matrice RACI transforme « quelqu'un devrait s'en occuper » en une personne nommée.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Le tableau de départ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17"/>
        <w:gridCol w:w="2017"/>
        <w:gridCol w:w="2017"/>
        <w:gridCol w:w="2017"/>
        <w:gridCol w:w="2017"/>
      </w:tblGrid>
      <w:tr>
        <w:tc>
          <w:tcPr>
            <w:tcW w:type="dxa" w:w="2017"/>
            <w:shd w:val="clear" w:fill="48994E"/>
          </w:tcPr>
          <w:p>
            <w:r/>
            <w:r>
              <w:rPr>
                <w:rFonts w:ascii="Cairo" w:hAnsi="Cairo"/>
                <w:b/>
                <w:color w:val="FFFFFF"/>
                <w:sz w:val="19"/>
              </w:rPr>
              <w:t>Activité</w:t>
            </w:r>
          </w:p>
        </w:tc>
        <w:tc>
          <w:tcPr>
            <w:tcW w:type="dxa" w:w="2017"/>
            <w:shd w:val="clear" w:fill="48994E"/>
          </w:tcPr>
          <w:p>
            <w:r/>
            <w:r>
              <w:rPr>
                <w:rFonts w:ascii="Cairo" w:hAnsi="Cairo"/>
                <w:b/>
                <w:color w:val="FFFFFF"/>
                <w:sz w:val="19"/>
              </w:rPr>
              <w:t>Exécution</w:t>
            </w:r>
          </w:p>
        </w:tc>
        <w:tc>
          <w:tcPr>
            <w:tcW w:type="dxa" w:w="2017"/>
            <w:shd w:val="clear" w:fill="48994E"/>
          </w:tcPr>
          <w:p>
            <w:r/>
            <w:r>
              <w:rPr>
                <w:rFonts w:ascii="Cairo" w:hAnsi="Cairo"/>
                <w:b/>
                <w:color w:val="FFFFFF"/>
                <w:sz w:val="19"/>
              </w:rPr>
              <w:t>Autorité redevable</w:t>
            </w:r>
          </w:p>
        </w:tc>
        <w:tc>
          <w:tcPr>
            <w:tcW w:type="dxa" w:w="2017"/>
            <w:shd w:val="clear" w:fill="48994E"/>
          </w:tcPr>
          <w:p>
            <w:r/>
            <w:r>
              <w:rPr>
                <w:rFonts w:ascii="Cairo" w:hAnsi="Cairo"/>
                <w:b/>
                <w:color w:val="FFFFFF"/>
                <w:sz w:val="19"/>
              </w:rPr>
              <w:t>Consulté</w:t>
            </w:r>
          </w:p>
        </w:tc>
        <w:tc>
          <w:tcPr>
            <w:tcW w:type="dxa" w:w="2017"/>
            <w:shd w:val="clear" w:fill="48994E"/>
          </w:tcPr>
          <w:p>
            <w:r/>
            <w:r>
              <w:rPr>
                <w:rFonts w:ascii="Cairo" w:hAnsi="Cairo"/>
                <w:b/>
                <w:color w:val="FFFFFF"/>
                <w:sz w:val="19"/>
              </w:rPr>
              <w:t>Informé</w:t>
            </w:r>
          </w:p>
        </w:tc>
      </w:tr>
      <w:tr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Tenir l'inventaire des systèmes d'IA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Responsable gouvernance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CAIO ou sponsor exécutif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Propriétaires de systèmes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Conseil d'administration</w:t>
            </w:r>
          </w:p>
        </w:tc>
      </w:tr>
      <w:tr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Classer le niveau de risque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Propriétaire du système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Responsable gouvernance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Juridique, conformité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CAIO</w:t>
            </w:r>
          </w:p>
        </w:tc>
      </w:tr>
      <w:tr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Approuver un lancement à haut risque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Comité de revue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CAIO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Juridique, sécurité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Conseil d'administration</w:t>
            </w:r>
          </w:p>
        </w:tc>
      </w:tr>
      <w:tr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Surveiller en production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Propriétaire du système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Responsable gouvernance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Ingénierie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CAIO</w:t>
            </w:r>
          </w:p>
        </w:tc>
      </w:tr>
      <w:tr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Répondre à un incident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Responsable d'incident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CAIO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Juridique, communication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Conseil d'administration</w:t>
            </w:r>
          </w:p>
        </w:tc>
      </w:tr>
      <w:tr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Revue trimestrielle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Responsable gouvernance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CAIO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Tous les propriétaires</w:t>
            </w:r>
          </w:p>
        </w:tc>
        <w:tc>
          <w:tcPr>
            <w:tcW w:type="dxa" w:w="2017"/>
          </w:tcPr>
          <w:p>
            <w:r/>
            <w:r>
              <w:rPr>
                <w:rFonts w:ascii="Cairo" w:hAnsi="Cairo"/>
                <w:color w:val="1E3D21"/>
                <w:sz w:val="19"/>
              </w:rPr>
              <w:t>Conseil d'administration</w:t>
            </w:r>
          </w:p>
        </w:tc>
      </w:tr>
    </w:tbl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L'autorité redevable est toujours une seule personne, jamais un comité. L'exécution peut être partagée.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Comment l'utiliser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Copiez le tableau, remplacez les intitulés de rôles par des noms réels, puis diffusez-le. Les cases vides (une activité sans nom) constituent votre risque le plus prioritaire.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Où s'arrête le gratuit et où commence le payant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GRATUIT (le quoi et le pourquoi) : le tableau de départ et la règle d'une seule autorité redevable.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PAYANT (avec vous) : le modèle opérationnel complet de gouvernance, les descriptions de rôles et les chartes de comités dans le AI Governance Operating System (Niveau C) et l'Audit de gouvernance avant passage à l'échelle.</w:t>
      </w:r>
    </w:p>
    <w:p>
      <w:pPr>
        <w:pBdr>
          <w:top w:val="single" w:sz="6" w:space="4" w:color="BDE051"/>
        </w:pBdr>
      </w:pPr>
      <w:r>
        <w:rPr>
          <w:rFonts w:ascii="Cairo" w:hAnsi="Cairo"/>
          <w:color w:val="48994E"/>
          <w:sz w:val="19"/>
        </w:rPr>
        <w:t>AI GOVERNANCE CHAIN™</w:t>
      </w:r>
    </w:p>
    <w:p>
      <w:r>
        <w:rPr>
          <w:rFonts w:ascii="Cairo" w:hAnsi="Cairo"/>
          <w:color w:val="48994E"/>
          <w:sz w:val="19"/>
        </w:rPr>
        <w:t>Cadre de gouvernance de l'IA</w:t>
      </w:r>
    </w:p>
    <w:p>
      <w:r>
        <w:rPr>
          <w:rFonts w:ascii="Cairo" w:hAnsi="Cairo"/>
          <w:color w:val="48994E"/>
          <w:sz w:val="19"/>
        </w:rPr>
        <w:t>© 2026 Mathieu K. Gouanou. Tous droits réservés.</w:t>
      </w:r>
    </w:p>
    <w:p>
      <w:r>
        <w:rPr>
          <w:rFonts w:ascii="Cairo" w:hAnsi="Cairo"/>
          <w:color w:val="48994E"/>
          <w:sz w:val="19"/>
        </w:rPr>
        <w:t>Membre du conseil consultatif de la Harvard Business Review.</w:t>
      </w:r>
    </w:p>
    <w:p>
      <w:r>
        <w:rPr>
          <w:rFonts w:ascii="Cairo" w:hAnsi="Cairo"/>
          <w:color w:val="48994E"/>
          <w:sz w:val="19"/>
        </w:rPr>
        <w:t>Standard documentaire : une gouvernance de l'IA centrée sur l'humain.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</w:rPr>
      <w:t>/</w:t>
    </w:r>
    <w:r>
      <w:rPr>
        <w:rFonts w:ascii="Cairo" w:hAnsi="Cairo"/>
        <w:color w:val="48994E"/>
        <w:sz w:val="18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iro" w:hAnsi="Cairo"/>
      <w:color w:val="1E3D21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