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rFonts w:ascii="Bakbak One" w:hAnsi="Bakbak One"/>
          <w:b/>
          <w:color w:val="1E3D21"/>
          <w:sz w:val="40"/>
        </w:rPr>
        <w:t>L'ordre du jour de la revue trimestrielle de gouvernance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Actif GRATUIT | Niveau 0 | AI GOVERNANCE CHAIN™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La cadence qui maintient la gouvernance en vie après le lancement. La gouvernance n'est pas un projet qui se termine ; c'est un rythme qui continue.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Abréviations et acronymes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Aucune connaissance préalable n'est supposée. Chaque sigle utilisé dans ce document est défini ici.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IA : intelligence artificielle.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CAIO : Chief AI Officer, le dirigeant responsable de l'intelligence artificielle.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Le POURQUOI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La plupart des efforts de gouvernance s'essoufflent après l'élan initial. Une revue trimestrielle fixe est la seule habitude qui maintient les contrôles à jour, révèle les dérives et garde la direction impliquée.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L'ordre du jour de 60 minutes</w:t>
      </w:r>
    </w:p>
    <w:p>
      <w:r>
        <w:rPr>
          <w:rFonts w:ascii="Cairo" w:hAnsi="Cairo"/>
          <w:color w:val="1E3D21"/>
          <w:sz w:val="23"/>
        </w:rPr>
        <w:t>1. Vérification de l'inventaire (10 minutes)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De nouveaux systèmes d'IA depuis le trimestre dernier ? Ont-ils été ajoutés au registre ?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Des systèmes retirés ?</w:t>
      </w:r>
    </w:p>
    <w:p>
      <w:r>
        <w:rPr>
          <w:rFonts w:ascii="Cairo" w:hAnsi="Cairo"/>
          <w:color w:val="1E3D21"/>
          <w:sz w:val="23"/>
        </w:rPr>
        <w:t>2. Revue des risques (15 minutes)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Des reclassifications de niveau ? De nouveaux systèmes à haut risque ?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De nouvelles évolutions réglementaires qui nous concernent ?</w:t>
      </w:r>
    </w:p>
    <w:p>
      <w:r>
        <w:rPr>
          <w:rFonts w:ascii="Cairo" w:hAnsi="Cairo"/>
          <w:color w:val="1E3D21"/>
          <w:sz w:val="23"/>
        </w:rPr>
        <w:t>3. Score de santé (10 minutes)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Relancez le AI Governance Health Score™. En hausse ou en baisse par rapport au trimestre dernier ?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Quel axe est désormais le plus faible (Couverture, Contrôle, Documentation, Surveillance) ?</w:t>
      </w:r>
    </w:p>
    <w:p>
      <w:r>
        <w:rPr>
          <w:rFonts w:ascii="Cairo" w:hAnsi="Cairo"/>
          <w:color w:val="1E3D21"/>
          <w:sz w:val="23"/>
        </w:rPr>
        <w:t>4. Incidents et quasi-incidents (10 minutes)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Que s'est-il passé, qu'avons-nous appris, qu'est-ce qui a changé en conséquence ?</w:t>
      </w:r>
    </w:p>
    <w:p>
      <w:r>
        <w:rPr>
          <w:rFonts w:ascii="Cairo" w:hAnsi="Cairo"/>
          <w:color w:val="1E3D21"/>
          <w:sz w:val="23"/>
        </w:rPr>
        <w:t>5. Actions et propriétaires (15 minutes)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Les trois actions prioritaires du prochain trimestre, chacune avec un propriétaire nommé et une date.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Qui participe</w:t>
      </w:r>
    </w:p>
    <w:p>
      <w:pPr>
        <w:spacing w:line="336" w:lineRule="auto"/>
        <w:jc w:val="left"/>
      </w:pPr>
      <w:r>
        <w:rPr>
          <w:rFonts w:ascii="Cairo" w:hAnsi="Cairo"/>
          <w:color w:val="1E3D21"/>
          <w:sz w:val="23"/>
        </w:rPr>
        <w:t>Le dirigeant redevable (CAIO ou sponsor), le responsable gouvernance et les propriétaires de systèmes. Restez en petit comité, centré sur la décision.</w:t>
      </w:r>
    </w:p>
    <w:p>
      <w:pPr>
        <w:spacing w:before="200" w:after="60"/>
      </w:pPr>
      <w:r>
        <w:rPr>
          <w:rFonts w:ascii="Bakbak One" w:hAnsi="Bakbak One"/>
          <w:b/>
          <w:color w:val="48994E"/>
          <w:sz w:val="27"/>
        </w:rPr>
        <w:t>Où s'arrête le gratuit et où commence le payant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GRATUIT (le quoi et le pourquoi) : cet ordre du jour et la cadence trimestrielle.</w:t>
      </w:r>
    </w:p>
    <w:p>
      <w:pPr>
        <w:pStyle w:val="ListBullet"/>
      </w:pPr>
      <w:r>
        <w:rPr>
          <w:rFonts w:ascii="Cairo" w:hAnsi="Cairo"/>
          <w:color w:val="1E3D21"/>
          <w:sz w:val="23"/>
        </w:rPr>
        <w:t>PAYANT (récurrent) : les revues animées, la comparaison avec vos pairs et le tableau de bord continu du score de santé dans l'abonnement The Governance Circle (Niveau D).</w:t>
      </w:r>
    </w:p>
    <w:p>
      <w:pPr>
        <w:pBdr>
          <w:top w:val="single" w:sz="6" w:space="4" w:color="BDE051"/>
        </w:pBdr>
      </w:pPr>
      <w:r>
        <w:rPr>
          <w:rFonts w:ascii="Cairo" w:hAnsi="Cairo"/>
          <w:color w:val="48994E"/>
          <w:sz w:val="19"/>
        </w:rPr>
        <w:t>AI GOVERNANCE CHAIN™</w:t>
      </w:r>
    </w:p>
    <w:p>
      <w:r>
        <w:rPr>
          <w:rFonts w:ascii="Cairo" w:hAnsi="Cairo"/>
          <w:color w:val="48994E"/>
          <w:sz w:val="19"/>
        </w:rPr>
        <w:t>Cadre de gouvernance de l'IA</w:t>
      </w:r>
    </w:p>
    <w:p>
      <w:r>
        <w:rPr>
          <w:rFonts w:ascii="Cairo" w:hAnsi="Cairo"/>
          <w:color w:val="48994E"/>
          <w:sz w:val="19"/>
        </w:rPr>
        <w:t>© 2026 Mathieu K. Gouanou. Tous droits réservés.</w:t>
      </w:r>
    </w:p>
    <w:p>
      <w:r>
        <w:rPr>
          <w:rFonts w:ascii="Cairo" w:hAnsi="Cairo"/>
          <w:color w:val="48994E"/>
          <w:sz w:val="19"/>
        </w:rPr>
        <w:t>Membre du conseil consultatif de la Harvard Business Review.</w:t>
      </w:r>
    </w:p>
    <w:p>
      <w:r>
        <w:rPr>
          <w:rFonts w:ascii="Cairo" w:hAnsi="Cairo"/>
          <w:color w:val="48994E"/>
          <w:sz w:val="19"/>
        </w:rPr>
        <w:t>Standard documentaire : une gouvernance de l'IA centrée sur l'humain.</w:t>
      </w:r>
    </w:p>
    <w:sectPr w:rsidR="00FC693F" w:rsidRPr="0006063C" w:rsidSect="00034616">
      <w:footerReference w:type="default" r:id="rId9"/>
      <w:pgSz w:w="12240" w:h="15840"/>
      <w:pgMar w:top="1077" w:right="1077" w:bottom="1247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Cairo" w:hAnsi="Cairo"/>
        <w:color w:val="48994E"/>
        <w:sz w:val="18"/>
      </w:rPr>
      <w:fldChar w:fldCharType="begin"/>
      <w:instrText xml:space="preserve"> PAGE </w:instrText>
      <w:fldChar w:fldCharType="end"/>
    </w:r>
    <w:r>
      <w:rPr>
        <w:rFonts w:ascii="Cairo" w:hAnsi="Cairo"/>
        <w:color w:val="48994E"/>
        <w:sz w:val="18"/>
      </w:rPr>
      <w:t>/</w:t>
    </w:r>
    <w:r>
      <w:rPr>
        <w:rFonts w:ascii="Cairo" w:hAnsi="Cairo"/>
        <w:color w:val="48994E"/>
        <w:sz w:val="18"/>
      </w:rPr>
      <w:fldChar w:fldCharType="begin"/>
      <w:instrText xml:space="preserve"> NUMPAGES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iro" w:hAnsi="Cairo"/>
      <w:color w:val="1E3D21"/>
      <w:sz w:val="23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