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line="336" w:lineRule="auto"/>
        <w:jc w:val="left"/>
        <w:pBdr>
          <w:bottom w:val="single" w:sz="20" w:color="BDE051"/>
        </w:pBdr>
      </w:pPr>
      <w:r>
        <w:rPr>
          <w:rFonts w:ascii="Bakbak One" w:hAnsi="Bakbak One" w:eastAsia="Bakbak One"/>
          <w:b/>
          <w:color w:val="48994E"/>
          <w:sz w:val="40"/>
        </w:rPr>
        <w:t>Le kit de démarrage de la gouvernance de l'IA : votre guide du premier jour</w:t>
      </w:r>
    </w:p>
    <w:p>
      <w:pPr>
        <w:spacing w:after="100" w:line="336" w:lineRule="auto"/>
        <w:jc w:val="left"/>
      </w:pPr>
      <w:r>
        <w:rPr>
          <w:rFonts w:ascii="Cairo" w:hAnsi="Cairo" w:eastAsia="Cairo"/>
          <w:b w:val="0"/>
          <w:color w:val="1E3D21"/>
          <w:sz w:val="23"/>
        </w:rPr>
        <w:t>Un instrument gratuit d'AI GOVERNANCE CHAIN™. Le QUOI et le POURQUOI sont gratuits. Le COMMENT, l'AVEC-VOUS et le FAIT-POUR-VOUS constituent le parcours payant.</w:t>
      </w:r>
    </w:p>
    <w:p>
      <w:pPr>
        <w:spacing w:after="80" w:before="200" w:line="336" w:lineRule="auto"/>
        <w:jc w:val="left"/>
      </w:pPr>
      <w:r>
        <w:rPr>
          <w:rFonts w:ascii="Bakbak One" w:hAnsi="Bakbak One" w:eastAsia="Bakbak One"/>
          <w:b/>
          <w:color w:val="48994E"/>
          <w:sz w:val="27"/>
        </w:rPr>
        <w:t>Abréviations et acronymes</w:t>
      </w:r>
    </w:p>
    <w:p>
      <w:pPr>
        <w:spacing w:after="100" w:line="336" w:lineRule="auto"/>
        <w:jc w:val="left"/>
      </w:pPr>
      <w:r>
        <w:rPr>
          <w:rFonts w:ascii="Cairo" w:hAnsi="Cairo" w:eastAsia="Cairo"/>
          <w:b w:val="0"/>
          <w:color w:val="1E3D21"/>
          <w:sz w:val="23"/>
        </w:rPr>
        <w:t>Aucune connaissance préalable n'est supposée. Le terme suivant est utilisé dans ce document.</w:t>
      </w:r>
    </w:p>
    <w:p>
      <w:pPr>
        <w:spacing w:after="100" w:line="336" w:lineRule="auto"/>
        <w:jc w:val="left"/>
      </w:pPr>
      <w:r>
        <w:rPr>
          <w:rFonts w:ascii="Cairo" w:hAnsi="Cairo" w:eastAsia="Cairo"/>
          <w:b w:val="0"/>
          <w:color w:val="1E3D21"/>
          <w:sz w:val="23"/>
        </w:rPr>
        <w:t>IA : intelligence artificielle.</w:t>
      </w:r>
    </w:p>
    <w:p>
      <w:pPr>
        <w:spacing w:after="80" w:before="200" w:line="336" w:lineRule="auto"/>
        <w:jc w:val="left"/>
      </w:pPr>
      <w:r>
        <w:rPr>
          <w:rFonts w:ascii="Bakbak One" w:hAnsi="Bakbak One" w:eastAsia="Bakbak One"/>
          <w:b/>
          <w:color w:val="48994E"/>
          <w:sz w:val="27"/>
        </w:rPr>
        <w:t>À qui s'adresse ce kit</w:t>
      </w:r>
    </w:p>
    <w:p>
      <w:pPr>
        <w:spacing w:after="100" w:line="336" w:lineRule="auto"/>
        <w:jc w:val="left"/>
      </w:pPr>
      <w:r>
        <w:rPr>
          <w:rFonts w:ascii="Cairo" w:hAnsi="Cairo" w:eastAsia="Cairo"/>
          <w:b w:val="0"/>
          <w:color w:val="1E3D21"/>
          <w:sz w:val="23"/>
        </w:rPr>
        <w:t>Toute organisation, d'une équipe de 3 personnes à un ministère national, qui sait que l'IA fait désormais partie de son fonctionnement et qui ne sait pas par où commencer. Vous n'avez besoin ni d'un responsable de la gouvernance, ni d'un budget, ni de connaissances préalables pour commencer. Vous avez besoin d'une semaine de concentration.</w:t>
      </w:r>
    </w:p>
    <w:p>
      <w:pPr>
        <w:spacing w:after="80" w:before="200" w:line="336" w:lineRule="auto"/>
        <w:jc w:val="left"/>
      </w:pPr>
      <w:r>
        <w:rPr>
          <w:rFonts w:ascii="Bakbak One" w:hAnsi="Bakbak One" w:eastAsia="Bakbak One"/>
          <w:b/>
          <w:color w:val="48994E"/>
          <w:sz w:val="27"/>
        </w:rPr>
        <w:t>Pourquoi ce kit existe (le POURQUOI)</w:t>
      </w:r>
    </w:p>
    <w:p>
      <w:pPr>
        <w:spacing w:after="100" w:line="336" w:lineRule="auto"/>
        <w:jc w:val="left"/>
      </w:pPr>
      <w:r>
        <w:rPr>
          <w:rFonts w:ascii="Cairo" w:hAnsi="Cairo" w:eastAsia="Cairo"/>
          <w:b w:val="0"/>
          <w:color w:val="1E3D21"/>
          <w:sz w:val="23"/>
        </w:rPr>
        <w:t>La plupart des organisations n'échouent pas en gouvernance de l'IA parce qu'elles choisissent le mauvais cadre. Elles échouent parce qu'elles ne commencent jamais. Le travail semble trop vaste, trop technique et trop abstrait, alors il est reporté jusqu'à ce qu'un incident l'impose. Ce kit supprime cette paralysie en réduisant la première semaine à un petit nombre d'actions concrètes et réalisables.</w:t>
      </w:r>
    </w:p>
    <w:p>
      <w:pPr>
        <w:spacing w:after="80" w:before="200" w:line="336" w:lineRule="auto"/>
        <w:jc w:val="left"/>
      </w:pPr>
      <w:r>
        <w:rPr>
          <w:rFonts w:ascii="Bakbak One" w:hAnsi="Bakbak One" w:eastAsia="Bakbak One"/>
          <w:b/>
          <w:color w:val="48994E"/>
          <w:sz w:val="27"/>
        </w:rPr>
        <w:t>Le QUOI : vos cinq premiers jours</w:t>
      </w:r>
    </w:p>
    <w:p>
      <w:pPr>
        <w:spacing w:after="100" w:line="336" w:lineRule="auto"/>
        <w:jc w:val="left"/>
      </w:pPr>
      <w:r>
        <w:rPr>
          <w:rFonts w:ascii="Cairo" w:hAnsi="Cairo" w:eastAsia="Cairo"/>
          <w:b w:val="0"/>
          <w:color w:val="1E3D21"/>
          <w:sz w:val="23"/>
        </w:rPr>
        <w:t>Jour 1 : l'inventaire. Dressez la liste de tous les endroits où l'IA est déjà utilisée dans votre organisation. Incluez les outils achetés (agents conversationnels, copilotes, assistants de rédaction), les fonctions intégrées dans les logiciels que vous payez déjà et tout ce qu'une équipe a construit. On ne peut pas gouverner ce que l'on n'a pas nommé. La plupart des organisations sont surprises par la longueur de cette liste.</w:t>
      </w:r>
    </w:p>
    <w:p>
      <w:pPr>
        <w:spacing w:after="100" w:line="336" w:lineRule="auto"/>
        <w:jc w:val="left"/>
      </w:pPr>
      <w:r>
        <w:rPr>
          <w:rFonts w:ascii="Cairo" w:hAnsi="Cairo" w:eastAsia="Cairo"/>
          <w:b w:val="0"/>
          <w:color w:val="1E3D21"/>
          <w:sz w:val="23"/>
        </w:rPr>
        <w:t>Jour 2 : l'exposition. Pour chaque élément de la liste, répondez à une seule question : si ce système donnait une réponse fausse, biaisée ou inventée, qui serait affecté et avec quelle gravité ? Classez chaque élément comme faible, moyen ou élevé. C'est votre premier tri des risques. Cela prend une heure et vous indique où regarder en premier.</w:t>
      </w:r>
    </w:p>
    <w:p>
      <w:pPr>
        <w:spacing w:after="100" w:line="336" w:lineRule="auto"/>
        <w:jc w:val="left"/>
      </w:pPr>
      <w:r>
        <w:rPr>
          <w:rFonts w:ascii="Cairo" w:hAnsi="Cairo" w:eastAsia="Cairo"/>
          <w:b w:val="0"/>
          <w:color w:val="1E3D21"/>
          <w:sz w:val="23"/>
        </w:rPr>
        <w:t>Jour 3 : la responsabilité. Pour chaque élément moyen et élevé, nommez une personne responsable. Pas un comité. Un nom. Une responsabilité sans nom est une responsabilité de personne. Si vous ne pouvez pas nommer un responsable, c'est en soi un constat.</w:t>
      </w:r>
    </w:p>
    <w:p>
      <w:pPr>
        <w:spacing w:after="100" w:line="336" w:lineRule="auto"/>
        <w:jc w:val="left"/>
      </w:pPr>
      <w:r>
        <w:rPr>
          <w:rFonts w:ascii="Cairo" w:hAnsi="Cairo" w:eastAsia="Cairo"/>
          <w:b w:val="0"/>
          <w:color w:val="1E3D21"/>
          <w:sz w:val="23"/>
        </w:rPr>
        <w:t>Jour 4 : l'habitude la plus importante. Choisissez votre système le plus exposé et effectuez un seul contrôle : posez-lui une question dont vous connaissez déjà la réponse, puis contredisez-le fermement avec une correction fausse mais assurée. Tient-il sa position, ou cède-t-il et se range-t-il à votre avis ? Un système qui abandonne une réponse correcte sous la pression est un système qui dira à vos équipes ce qu'elles veulent entendre. C'est le test de sycophancie, et c'est le moyen le plus rapide de voir le risque de gouvernance de vos propres yeux.</w:t>
      </w:r>
    </w:p>
    <w:p>
      <w:pPr>
        <w:spacing w:after="100" w:line="336" w:lineRule="auto"/>
        <w:jc w:val="left"/>
      </w:pPr>
      <w:r>
        <w:rPr>
          <w:rFonts w:ascii="Cairo" w:hAnsi="Cairo" w:eastAsia="Cairo"/>
          <w:b w:val="0"/>
          <w:color w:val="1E3D21"/>
          <w:sz w:val="23"/>
        </w:rPr>
        <w:t>Jour 5 : décidez de la suite. Vous disposez maintenant d'un inventaire, d'un tri des risques, de responsables nommés et d'un mode de défaillance observé. Rédigez une page : ce que vous avez trouvé, ce qui vous inquiète le plus et ce que vous ferez dans les 30 prochains jours. Cette page est le point de départ de votre programme de gouvernance.</w:t>
      </w:r>
    </w:p>
    <w:p>
      <w:pPr>
        <w:spacing w:after="80" w:before="200" w:line="336" w:lineRule="auto"/>
        <w:jc w:val="left"/>
      </w:pPr>
      <w:r>
        <w:rPr>
          <w:rFonts w:ascii="Bakbak One" w:hAnsi="Bakbak One" w:eastAsia="Bakbak One"/>
          <w:b/>
          <w:color w:val="48994E"/>
          <w:sz w:val="27"/>
        </w:rPr>
        <w:t>Ce que vous avez après une semaine</w:t>
      </w:r>
    </w:p>
    <w:p>
      <w:pPr>
        <w:spacing w:after="100" w:line="336" w:lineRule="auto"/>
        <w:jc w:val="left"/>
      </w:pPr>
      <w:r>
        <w:rPr>
          <w:rFonts w:ascii="Cairo" w:hAnsi="Cairo" w:eastAsia="Cairo"/>
          <w:b w:val="0"/>
          <w:color w:val="1E3D21"/>
          <w:sz w:val="23"/>
        </w:rPr>
        <w:t>Vous êtes passé de « nous ne savons pas par où commencer » à « nous avons un inventaire, un tri, des responsables et un plan à 30 jours ». C'est plus loin que ce que la plupart des organisations accomplissent en un an.</w:t>
      </w:r>
    </w:p>
    <w:p>
      <w:pPr>
        <w:spacing w:after="80" w:before="200" w:line="336" w:lineRule="auto"/>
        <w:jc w:val="left"/>
      </w:pPr>
      <w:r>
        <w:rPr>
          <w:rFonts w:ascii="Bakbak One" w:hAnsi="Bakbak One" w:eastAsia="Bakbak One"/>
          <w:b/>
          <w:color w:val="48994E"/>
          <w:sz w:val="27"/>
        </w:rPr>
        <w:t>Où s'arrête la couche gratuite et où commence le parcours payant</w:t>
      </w:r>
    </w:p>
    <w:p>
      <w:pPr>
        <w:spacing w:after="100" w:line="336" w:lineRule="auto"/>
        <w:jc w:val="left"/>
      </w:pPr>
      <w:r>
        <w:rPr>
          <w:rFonts w:ascii="Cairo" w:hAnsi="Cairo" w:eastAsia="Cairo"/>
          <w:b w:val="0"/>
          <w:color w:val="1E3D21"/>
          <w:sz w:val="23"/>
        </w:rPr>
        <w:t>Ce kit vous donne le QUOI (les cinq actions) et le POURQUOI (pourquoi commencer compte plus que choisir). Il ne vous donne pas le COMMENT en profondeur : le modèle complet de notation des risques, la bibliothèque de contrôles, la cadence opérationnelle et les responsabilités rôle par rôle.</w:t>
      </w:r>
    </w:p>
    <w:p>
      <w:pPr>
        <w:pStyle w:val="ListBullet"/>
        <w:spacing w:line="336" w:lineRule="auto"/>
      </w:pPr>
      <w:r>
        <w:rPr>
          <w:rFonts w:ascii="Cairo" w:hAnsi="Cairo" w:eastAsia="Cairo"/>
          <w:b w:val="0"/>
          <w:color w:val="1E3D21"/>
          <w:sz w:val="23"/>
        </w:rPr>
        <w:t>Pour le COMMENT structuré : le Système d'exploitation de la gouvernance de l'IA (le modèle opérationnel de bout en bout).</w:t>
      </w:r>
    </w:p>
    <w:p>
      <w:pPr>
        <w:pStyle w:val="ListBullet"/>
        <w:spacing w:line="336" w:lineRule="auto"/>
      </w:pPr>
      <w:r>
        <w:rPr>
          <w:rFonts w:ascii="Cairo" w:hAnsi="Cairo" w:eastAsia="Cairo"/>
          <w:b w:val="0"/>
          <w:color w:val="1E3D21"/>
          <w:sz w:val="23"/>
        </w:rPr>
        <w:t>Pour l'AVEC-VOUS : The Governance Circle (accompagnement continu et modèles).</w:t>
      </w:r>
    </w:p>
    <w:p>
      <w:pPr>
        <w:pStyle w:val="ListBullet"/>
        <w:spacing w:line="336" w:lineRule="auto"/>
      </w:pPr>
      <w:r>
        <w:rPr>
          <w:rFonts w:ascii="Cairo" w:hAnsi="Cairo" w:eastAsia="Cairo"/>
          <w:b w:val="0"/>
          <w:color w:val="1E3D21"/>
          <w:sz w:val="23"/>
        </w:rPr>
        <w:t>Pour le FAIT-POUR-VOUS : l'Audit de gouvernance avant passage à l'échelle (nous menons l'évaluation avec vous).</w:t>
      </w:r>
    </w:p>
    <w:p>
      <w:pPr>
        <w:spacing w:after="100" w:line="336" w:lineRule="auto"/>
        <w:jc w:val="left"/>
      </w:pPr>
      <w:r>
        <w:rPr>
          <w:rFonts w:ascii="Cairo" w:hAnsi="Cairo" w:eastAsia="Cairo"/>
          <w:b w:val="0"/>
          <w:color w:val="1E3D21"/>
          <w:sz w:val="23"/>
        </w:rPr>
        <w:t>Commencez ici, gratuitement, aujourd'hui. Quand vous serez prêt à aller plus loin, le chemin est tracé pour vous.</w:t>
      </w:r>
    </w:p>
    <w:p>
      <w:pPr>
        <w:spacing w:before="280"/>
        <w:pBdr>
          <w:top w:val="single" w:sz="6" w:color="BDE051"/>
        </w:pBdr>
      </w:pPr>
    </w:p>
    <w:p>
      <w:pPr>
        <w:spacing w:after="20" w:line="336" w:lineRule="auto"/>
        <w:jc w:val="left"/>
      </w:pPr>
      <w:r>
        <w:rPr>
          <w:rFonts w:ascii="Cairo" w:hAnsi="Cairo" w:eastAsia="Cairo"/>
          <w:b w:val="0"/>
          <w:color w:val="48994E"/>
          <w:sz w:val="18"/>
        </w:rPr>
        <w:t>AI GOVERNANCE CHAIN™</w:t>
      </w:r>
    </w:p>
    <w:p>
      <w:pPr>
        <w:spacing w:after="20" w:line="336" w:lineRule="auto"/>
        <w:jc w:val="left"/>
      </w:pPr>
      <w:r>
        <w:rPr>
          <w:rFonts w:ascii="Cairo" w:hAnsi="Cairo" w:eastAsia="Cairo"/>
          <w:b w:val="0"/>
          <w:color w:val="48994E"/>
          <w:sz w:val="18"/>
        </w:rPr>
        <w:t>Cadre de gouvernance de l'IA</w:t>
      </w:r>
    </w:p>
    <w:p>
      <w:pPr>
        <w:spacing w:after="20" w:line="336" w:lineRule="auto"/>
        <w:jc w:val="left"/>
      </w:pPr>
      <w:r>
        <w:rPr>
          <w:rFonts w:ascii="Cairo" w:hAnsi="Cairo" w:eastAsia="Cairo"/>
          <w:b w:val="0"/>
          <w:color w:val="48994E"/>
          <w:sz w:val="18"/>
        </w:rPr>
        <w:t>© 2026 Mathieu K. Gouanou. Tous droits réservés.</w:t>
      </w:r>
    </w:p>
    <w:p>
      <w:pPr>
        <w:spacing w:after="20" w:line="336" w:lineRule="auto"/>
        <w:jc w:val="left"/>
      </w:pPr>
      <w:r>
        <w:rPr>
          <w:rFonts w:ascii="Cairo" w:hAnsi="Cairo" w:eastAsia="Cairo"/>
          <w:b w:val="0"/>
          <w:color w:val="48994E"/>
          <w:sz w:val="18"/>
        </w:rPr>
        <w:t>Membre du conseil consultatif de la Harvard Business Review.</w:t>
      </w:r>
    </w:p>
    <w:p>
      <w:pPr>
        <w:spacing w:after="20" w:line="336" w:lineRule="auto"/>
        <w:jc w:val="left"/>
      </w:pPr>
      <w:r>
        <w:rPr>
          <w:rFonts w:ascii="Cairo" w:hAnsi="Cairo" w:eastAsia="Cairo"/>
          <w:b w:val="0"/>
          <w:color w:val="48994E"/>
          <w:sz w:val="18"/>
        </w:rPr>
        <w:t>Norme documentaire d'AI GOVERNANCE CHAIN™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eastAsia="Cairo"/>
        <w:b w:val="0"/>
        <w:color w:val="48994E"/>
        <w:sz w:val="19"/>
      </w:rPr>
      <w:fldChar w:fldCharType="begin"/>
      <w:instrText xml:space="preserve"> PAGE </w:instrText>
      <w:fldChar w:fldCharType="end"/>
    </w:r>
    <w:r>
      <w:rPr>
        <w:rFonts w:ascii="Cairo" w:hAnsi="Cairo" w:eastAsia="Cairo"/>
        <w:b w:val="0"/>
        <w:color w:val="48994E"/>
        <w:sz w:val="19"/>
      </w:rPr>
      <w:t>/</w:t>
    </w:r>
    <w:r>
      <w:rPr>
        <w:rFonts w:ascii="Cairo" w:hAnsi="Cairo" w:eastAsia="Cairo"/>
        <w:b w:val="0"/>
        <w:color w:val="48994E"/>
        <w:sz w:val="19"/>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