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18" w:space="4" w:color="BDE051"/>
        </w:pBdr>
      </w:pPr>
      <w:r>
        <w:rPr>
          <w:rFonts w:ascii="Bakbak One" w:hAnsi="Bakbak One"/>
          <w:b/>
          <w:color w:val="48994E"/>
          <w:sz w:val="40"/>
        </w:rPr>
        <w:t>Le tri rapide des risques fournisseurs de l'IA</w:t>
      </w:r>
    </w:p>
    <w:p>
      <w:r>
        <w:rPr>
          <w:rFonts w:ascii="Cairo" w:hAnsi="Cairo"/>
          <w:sz w:val="23"/>
        </w:rPr>
        <w:t>Instrument GRATUIT | Niveau 0 | AI GOVERNANCE CHAIN™</w:t>
      </w:r>
    </w:p>
    <w:p>
      <w:r>
        <w:rPr>
          <w:rFonts w:ascii="Cairo" w:hAnsi="Cairo"/>
          <w:sz w:val="23"/>
        </w:rPr>
        <w:t>Une barrière en huit questions pour l'IA que vous achetez, et non celle que vous construisez. L'exposition réelle de la plupart des organisations vient des outils achetés, pas des modèles internes.</w:t>
      </w:r>
    </w:p>
    <w:p>
      <w:pPr>
        <w:spacing w:before="200" w:after="60"/>
      </w:pPr>
      <w:r>
        <w:rPr>
          <w:rFonts w:ascii="Bakbak One" w:hAnsi="Bakbak One"/>
          <w:b/>
          <w:color w:val="48994E"/>
          <w:sz w:val="27"/>
        </w:rPr>
        <w:t>Abréviations et acronymes</w:t>
      </w:r>
    </w:p>
    <w:p>
      <w:r>
        <w:rPr>
          <w:rFonts w:ascii="Cairo" w:hAnsi="Cairo"/>
          <w:sz w:val="23"/>
        </w:rPr>
        <w:t>Aucune connaissance préalable n'est supposée. Chaque acronyme utilisé dans ce document est défini ici.</w:t>
      </w:r>
    </w:p>
    <w:p>
      <w:pPr>
        <w:pStyle w:val="ListBullet"/>
      </w:pPr>
      <w:r>
        <w:rPr>
          <w:rFonts w:ascii="Cairo" w:hAnsi="Cairo"/>
          <w:sz w:val="23"/>
        </w:rPr>
      </w:r>
      <w:r>
        <w:rPr>
          <w:rFonts w:ascii="Cairo" w:hAnsi="Cairo"/>
          <w:b/>
          <w:color w:val="2A5230"/>
          <w:sz w:val="23"/>
        </w:rPr>
        <w:t>IA : intelligence artificielle.</w:t>
      </w:r>
      <w:r>
        <w:rPr>
          <w:rFonts w:ascii="Cairo" w:hAnsi="Cairo"/>
          <w:sz w:val="23"/>
        </w:rPr>
        <w:t xml:space="preserve"> La capacité d'un système informatique à accomplir des tâches qui exigent normalement l'intelligence humaine.</w:t>
      </w:r>
    </w:p>
    <w:p>
      <w:pPr>
        <w:spacing w:before="200" w:after="60"/>
      </w:pPr>
      <w:r>
        <w:rPr>
          <w:rFonts w:ascii="Bakbak One" w:hAnsi="Bakbak One"/>
          <w:b/>
          <w:color w:val="48994E"/>
          <w:sz w:val="27"/>
        </w:rPr>
        <w:t>Le POURQUOI</w:t>
      </w:r>
    </w:p>
    <w:p>
      <w:r>
        <w:rPr>
          <w:rFonts w:ascii="Cairo" w:hAnsi="Cairo"/>
          <w:sz w:val="23"/>
        </w:rPr>
        <w:t>Vous héritez du risque de chaque outil d'IA que vous adoptez, mais vous ne contrôlez pas la manière dont il a été construit. Ce tri rapide fait remonter les questions à poser à un fournisseur avant de signer.</w:t>
      </w:r>
    </w:p>
    <w:p>
      <w:pPr>
        <w:spacing w:before="200" w:after="60"/>
      </w:pPr>
      <w:r>
        <w:rPr>
          <w:rFonts w:ascii="Bakbak One" w:hAnsi="Bakbak One"/>
          <w:b/>
          <w:color w:val="48994E"/>
          <w:sz w:val="27"/>
        </w:rPr>
        <w:t>Les huit questions</w:t>
      </w:r>
    </w:p>
    <w:p>
      <w:r>
        <w:rPr>
          <w:rFonts w:ascii="Cairo" w:hAnsi="Cairo"/>
          <w:b/>
          <w:color w:val="2A5230"/>
          <w:sz w:val="23"/>
        </w:rPr>
        <w:t xml:space="preserve">1. </w:t>
      </w:r>
      <w:r>
        <w:rPr>
          <w:rFonts w:ascii="Cairo" w:hAnsi="Cairo"/>
          <w:sz w:val="23"/>
        </w:rPr>
        <w:t>Que fait le modèle, et sur quelles données a-t-il été entraîné ?</w:t>
      </w:r>
    </w:p>
    <w:p>
      <w:r>
        <w:rPr>
          <w:rFonts w:ascii="Cairo" w:hAnsi="Cairo"/>
          <w:b/>
          <w:color w:val="2A5230"/>
          <w:sz w:val="23"/>
        </w:rPr>
        <w:t xml:space="preserve">2. </w:t>
      </w:r>
      <w:r>
        <w:rPr>
          <w:rFonts w:ascii="Cairo" w:hAnsi="Cairo"/>
          <w:sz w:val="23"/>
        </w:rPr>
        <w:t>Où nos données sont-elles traitées et stockées, et servent-elles à entraîner leurs modèles ?</w:t>
      </w:r>
    </w:p>
    <w:p>
      <w:r>
        <w:rPr>
          <w:rFonts w:ascii="Cairo" w:hAnsi="Cairo"/>
          <w:b/>
          <w:color w:val="2A5230"/>
          <w:sz w:val="23"/>
        </w:rPr>
        <w:t xml:space="preserve">3. </w:t>
      </w:r>
      <w:r>
        <w:rPr>
          <w:rFonts w:ascii="Cairo" w:hAnsi="Cairo"/>
          <w:sz w:val="23"/>
        </w:rPr>
        <w:t>Le fournisseur peut-il expliquer un résultat donné si un régulateur ou un client le demande ?</w:t>
      </w:r>
    </w:p>
    <w:p>
      <w:r>
        <w:rPr>
          <w:rFonts w:ascii="Cairo" w:hAnsi="Cairo"/>
          <w:b/>
          <w:color w:val="2A5230"/>
          <w:sz w:val="23"/>
        </w:rPr>
        <w:t xml:space="preserve">4. </w:t>
      </w:r>
      <w:r>
        <w:rPr>
          <w:rFonts w:ascii="Cairo" w:hAnsi="Cairo"/>
          <w:sz w:val="23"/>
        </w:rPr>
        <w:t>Quel est son processus d'incident si le modèle cause un préjudice ?</w:t>
      </w:r>
    </w:p>
    <w:p>
      <w:r>
        <w:rPr>
          <w:rFonts w:ascii="Cairo" w:hAnsi="Cairo"/>
          <w:b/>
          <w:color w:val="2A5230"/>
          <w:sz w:val="23"/>
        </w:rPr>
        <w:t xml:space="preserve">5. </w:t>
      </w:r>
      <w:r>
        <w:rPr>
          <w:rFonts w:ascii="Cairo" w:hAnsi="Cairo"/>
          <w:sz w:val="23"/>
        </w:rPr>
        <w:t>Documente-t-il les biais, la précision et les limites connues ?</w:t>
      </w:r>
    </w:p>
    <w:p>
      <w:r>
        <w:rPr>
          <w:rFonts w:ascii="Cairo" w:hAnsi="Cairo"/>
          <w:b/>
          <w:color w:val="2A5230"/>
          <w:sz w:val="23"/>
        </w:rPr>
        <w:t xml:space="preserve">6. </w:t>
      </w:r>
      <w:r>
        <w:rPr>
          <w:rFonts w:ascii="Cairo" w:hAnsi="Cairo"/>
          <w:sz w:val="23"/>
        </w:rPr>
        <w:t>Pouvons-nous auditer ou tester le système, ou est-ce une boîte noire ?</w:t>
      </w:r>
    </w:p>
    <w:p>
      <w:r>
        <w:rPr>
          <w:rFonts w:ascii="Cairo" w:hAnsi="Cairo"/>
          <w:b/>
          <w:color w:val="2A5230"/>
          <w:sz w:val="23"/>
        </w:rPr>
        <w:t xml:space="preserve">7. </w:t>
      </w:r>
      <w:r>
        <w:rPr>
          <w:rFonts w:ascii="Cairo" w:hAnsi="Cairo"/>
          <w:sz w:val="23"/>
        </w:rPr>
        <w:t>Quelles sont les clauses contractuelles sur la responsabilité et l'indemnisation ?</w:t>
      </w:r>
    </w:p>
    <w:p>
      <w:r>
        <w:rPr>
          <w:rFonts w:ascii="Cairo" w:hAnsi="Cairo"/>
          <w:b/>
          <w:color w:val="2A5230"/>
          <w:sz w:val="23"/>
        </w:rPr>
        <w:t xml:space="preserve">8. </w:t>
      </w:r>
      <w:r>
        <w:rPr>
          <w:rFonts w:ascii="Cairo" w:hAnsi="Cairo"/>
          <w:sz w:val="23"/>
        </w:rPr>
        <w:t>Qu'advient-il de nos données et de notre accès si le fournisseur ferme ou est racheté ?</w:t>
      </w:r>
    </w:p>
    <w:p>
      <w:pPr>
        <w:spacing w:before="200" w:after="60"/>
      </w:pPr>
      <w:r>
        <w:rPr>
          <w:rFonts w:ascii="Bakbak One" w:hAnsi="Bakbak One"/>
          <w:b/>
          <w:color w:val="48994E"/>
          <w:sz w:val="27"/>
        </w:rPr>
        <w:t>Comment lire le résultat</w:t>
      </w:r>
    </w:p>
    <w:p>
      <w:r>
        <w:rPr>
          <w:rFonts w:ascii="Cairo" w:hAnsi="Cairo"/>
          <w:sz w:val="23"/>
        </w:rPr>
        <w:t>Toute question à laquelle le fournisseur ne répond pas clairement est un signal d'alerte. Trois signaux ou plus : faites remonter vers un examen complet des tiers avant d'adopter.</w:t>
      </w:r>
    </w:p>
    <w:p>
      <w:pPr>
        <w:spacing w:before="200" w:after="60"/>
      </w:pPr>
      <w:r>
        <w:rPr>
          <w:rFonts w:ascii="Bakbak One" w:hAnsi="Bakbak One"/>
          <w:b/>
          <w:color w:val="48994E"/>
          <w:sz w:val="27"/>
        </w:rPr>
        <w:t>Où s'arrête le gratuit et où commence le payant</w:t>
      </w:r>
    </w:p>
    <w:p>
      <w:pPr>
        <w:pStyle w:val="ListBullet"/>
      </w:pPr>
      <w:r>
        <w:rPr>
          <w:rFonts w:ascii="Cairo" w:hAnsi="Cairo"/>
          <w:sz w:val="23"/>
        </w:rPr>
        <w:t>GRATUIT (le quoi et le pourquoi) : les huit questions et la logique des signaux.</w:t>
      </w:r>
    </w:p>
    <w:p>
      <w:pPr>
        <w:pStyle w:val="ListBullet"/>
      </w:pPr>
      <w:r>
        <w:rPr>
          <w:rFonts w:ascii="Cairo" w:hAnsi="Cairo"/>
          <w:sz w:val="23"/>
        </w:rPr>
        <w:t>PAYANT (le fait-pour-vous) : l'Évaluation complète des risques de l'IA tierce, la bibliothèque de clauses d'achat et le registre des risques fournisseurs du pack Risques fournisseurs.</w:t>
      </w:r>
    </w:p>
    <w:p>
      <w:pPr>
        <w:spacing w:before="280"/>
        <w:keepNext/>
        <w:pBdr>
          <w:bottom w:val="single" w:sz="6" w:space="4" w:color="BDE051"/>
        </w:pBdr>
      </w:pPr>
    </w:p>
    <w:p>
      <w:pPr>
        <w:keepNext/>
        <w:spacing w:after="0"/>
      </w:pPr>
      <w:r>
        <w:rPr>
          <w:rFonts w:ascii="Cairo" w:hAnsi="Cairo"/>
          <w:color w:val="2A5230"/>
          <w:sz w:val="19"/>
        </w:rPr>
        <w:t>AI GOVERNANCE CHAIN™</w:t>
      </w:r>
    </w:p>
    <w:p>
      <w:pPr>
        <w:keepNext/>
        <w:spacing w:after="0"/>
      </w:pPr>
      <w:r>
        <w:rPr>
          <w:rFonts w:ascii="Cairo" w:hAnsi="Cairo"/>
          <w:color w:val="2A5230"/>
          <w:sz w:val="19"/>
        </w:rPr>
        <w:t>Cadre de gouvernance de l'IA</w:t>
      </w:r>
    </w:p>
    <w:p>
      <w:pPr>
        <w:keepNext/>
        <w:spacing w:after="0"/>
      </w:pPr>
      <w:r>
        <w:rPr>
          <w:rFonts w:ascii="Cairo" w:hAnsi="Cairo"/>
          <w:color w:val="2A5230"/>
          <w:sz w:val="19"/>
        </w:rPr>
        <w:t>© 2026 Mathieu K. Gouanou. Tous droits réservés.</w:t>
      </w:r>
    </w:p>
    <w:p>
      <w:pPr>
        <w:keepNext/>
        <w:spacing w:after="0"/>
      </w:pPr>
      <w:r>
        <w:rPr>
          <w:rFonts w:ascii="Cairo" w:hAnsi="Cairo"/>
          <w:color w:val="2A5230"/>
          <w:sz w:val="19"/>
        </w:rPr>
        <w:t>Membre du conseil consultatif de la Harvard Business Review.</w:t>
      </w:r>
    </w:p>
    <w:p>
      <w:pPr>
        <w:spacing w:after="0"/>
      </w:pPr>
      <w:r>
        <w:rPr>
          <w:rFonts w:ascii="Cairo" w:hAnsi="Cairo"/>
          <w:color w:val="2A5230"/>
          <w:sz w:val="19"/>
        </w:rPr>
        <w:t>Norme documentaire : une gouvernance de l'IA centrée sur l'humain.</w:t>
      </w:r>
    </w:p>
    <w:sectPr w:rsidR="00FC693F" w:rsidRPr="0006063C" w:rsidSect="00034616">
      <w:footerReference w:type="default" r:id="rId9"/>
      <w:pgSz w:w="12240" w:h="15840"/>
      <w:pgMar w:top="1077" w:right="1077" w:bottom="124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hAnsi="Cairo"/>
        <w:color w:val="48994E"/>
        <w:sz w:val="18"/>
      </w:rPr>
      <w:fldChar w:fldCharType="begin"/>
      <w:instrText xml:space="preserve">PAGE</w:instrText>
      <w:fldChar w:fldCharType="end"/>
    </w:r>
    <w:r>
      <w:rPr>
        <w:rFonts w:ascii="Cairo" w:hAnsi="Cairo"/>
        <w:color w:val="48994E"/>
        <w:sz w:val="18"/>
      </w:rPr>
      <w:t>/</w:t>
    </w:r>
    <w:r>
      <w:rPr>
        <w:rFonts w:ascii="Cairo" w:hAnsi="Cairo"/>
        <w:color w:val="48994E"/>
        <w:sz w:val="18"/>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36" w:lineRule="auto"/>
    </w:pPr>
    <w:rPr>
      <w:rFonts w:ascii="Cairo" w:hAnsi="Cairo"/>
      <w:color w:val="1E3D21"/>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