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Bakbak One" w:hAnsi="Bakbak One"/>
          <w:b/>
          <w:color w:val="1E3D21"/>
          <w:sz w:val="40"/>
        </w:rPr>
        <w:t>Les trois niveaux de l'assurance IA</w:t>
      </w:r>
    </w:p>
    <w:p>
      <w:pPr>
        <w:spacing w:line="336" w:lineRule="auto"/>
        <w:jc w:val="left"/>
      </w:pPr>
      <w:r>
        <w:rPr>
          <w:rFonts w:ascii="Cairo" w:hAnsi="Cairo"/>
          <w:color w:val="1E3D21"/>
          <w:sz w:val="23"/>
        </w:rPr>
        <w:t>Actif GRATUIT | Niveau 0 | AI GOVERNANCE CHAIN™</w:t>
      </w:r>
    </w:p>
    <w:p>
      <w:pPr>
        <w:spacing w:line="336" w:lineRule="auto"/>
        <w:jc w:val="left"/>
      </w:pPr>
      <w:r>
        <w:rPr>
          <w:rFonts w:ascii="Cairo" w:hAnsi="Cairo"/>
          <w:color w:val="1E3D21"/>
          <w:sz w:val="23"/>
        </w:rPr>
        <w:t>La carte de référence : qui vérifie quoi, et quel niveau votre conseil ou votre régulateur exige réellement.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Abréviations et acronymes</w:t>
      </w:r>
    </w:p>
    <w:p>
      <w:pPr>
        <w:spacing w:line="336" w:lineRule="auto"/>
        <w:jc w:val="left"/>
      </w:pPr>
      <w:r>
        <w:rPr>
          <w:rFonts w:ascii="Cairo" w:hAnsi="Cairo"/>
          <w:color w:val="1E3D21"/>
          <w:sz w:val="23"/>
        </w:rPr>
        <w:t>Aucune connaissance préalable n'est supposée. Chaque sigle utilisé dans ce document est défini ici.</w:t>
      </w:r>
    </w:p>
    <w:p>
      <w:pPr>
        <w:pStyle w:val="ListBullet"/>
      </w:pPr>
      <w:r>
        <w:rPr>
          <w:rFonts w:ascii="Cairo" w:hAnsi="Cairo"/>
          <w:color w:val="1E3D21"/>
          <w:sz w:val="23"/>
        </w:rPr>
        <w:t>IA : intelligence artificielle.</w:t>
      </w:r>
    </w:p>
    <w:p>
      <w:pPr>
        <w:pStyle w:val="ListBullet"/>
      </w:pPr>
      <w:r>
        <w:rPr>
          <w:rFonts w:ascii="Cairo" w:hAnsi="Cairo"/>
          <w:color w:val="1E3D21"/>
          <w:sz w:val="23"/>
        </w:rPr>
        <w:t>ISO/IEC 42001 : la première norme certifiable de système de management de l'IA, publiée en décembre 2023.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Le principe directeur</w:t>
      </w:r>
    </w:p>
    <w:p>
      <w:pPr>
        <w:spacing w:line="336" w:lineRule="auto"/>
        <w:jc w:val="left"/>
      </w:pPr>
      <w:r>
        <w:rPr>
          <w:rFonts w:ascii="Cairo" w:hAnsi="Cairo"/>
          <w:color w:val="1E3D21"/>
          <w:sz w:val="23"/>
        </w:rPr>
        <w:t>L'assurance monte avec l'indépendance. Plus le vérificateur est éloigné de celui qui a construit le système, plus la preuve a de valeur.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Niveau 1 : l'assurance de première partie</w:t>
      </w:r>
    </w:p>
    <w:p>
      <w:pPr>
        <w:spacing w:line="336" w:lineRule="auto"/>
        <w:jc w:val="left"/>
      </w:pPr>
      <w:r>
        <w:rPr>
          <w:rFonts w:ascii="Cairo" w:hAnsi="Cairo"/>
          <w:color w:val="1E3D21"/>
          <w:sz w:val="23"/>
        </w:rPr>
        <w:t>Vous vous vérifiez vous-même. Autoévaluations, revues internes, le score de santé relancé à cadence fixe.</w:t>
      </w:r>
    </w:p>
    <w:p>
      <w:pPr>
        <w:pStyle w:val="ListBullet"/>
      </w:pPr>
      <w:r>
        <w:rPr>
          <w:rFonts w:ascii="Cairo" w:hAnsi="Cairo"/>
          <w:color w:val="1E3D21"/>
          <w:sz w:val="23"/>
        </w:rPr>
        <w:t>Force : rapide, peu coûteuse, apprise en interne.</w:t>
      </w:r>
    </w:p>
    <w:p>
      <w:pPr>
        <w:pStyle w:val="ListBullet"/>
      </w:pPr>
      <w:r>
        <w:rPr>
          <w:rFonts w:ascii="Cairo" w:hAnsi="Cairo"/>
          <w:color w:val="1E3D21"/>
          <w:sz w:val="23"/>
        </w:rPr>
        <w:t>Limite : personne d'extérieur ne la croit sur parole.</w:t>
      </w:r>
    </w:p>
    <w:p>
      <w:pPr>
        <w:pStyle w:val="ListBullet"/>
      </w:pPr>
      <w:r>
        <w:rPr>
          <w:rFonts w:ascii="Cairo" w:hAnsi="Cairo"/>
          <w:color w:val="1E3D21"/>
          <w:sz w:val="23"/>
        </w:rPr>
        <w:t>Suffit pour : le pilotage interne et la préparation.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Niveau 2 : l'assurance de seconde partie</w:t>
      </w:r>
    </w:p>
    <w:p>
      <w:pPr>
        <w:spacing w:line="336" w:lineRule="auto"/>
        <w:jc w:val="left"/>
      </w:pPr>
      <w:r>
        <w:rPr>
          <w:rFonts w:ascii="Cairo" w:hAnsi="Cairo"/>
          <w:color w:val="1E3D21"/>
          <w:sz w:val="23"/>
        </w:rPr>
        <w:t>Une partie intéressée vous vérifie. Un client audite son fournisseur ; un donneur d'ordre inspecte sa chaîne.</w:t>
      </w:r>
    </w:p>
    <w:p>
      <w:pPr>
        <w:pStyle w:val="ListBullet"/>
      </w:pPr>
      <w:r>
        <w:rPr>
          <w:rFonts w:ascii="Cairo" w:hAnsi="Cairo"/>
          <w:color w:val="1E3D21"/>
          <w:sz w:val="23"/>
        </w:rPr>
        <w:t>Force : crédible pour la relation concernée.</w:t>
      </w:r>
    </w:p>
    <w:p>
      <w:pPr>
        <w:pStyle w:val="ListBullet"/>
      </w:pPr>
      <w:r>
        <w:rPr>
          <w:rFonts w:ascii="Cairo" w:hAnsi="Cairo"/>
          <w:color w:val="1E3D21"/>
          <w:sz w:val="23"/>
        </w:rPr>
        <w:t>Limite : la portée est celle du contrat, pas celle du public.</w:t>
      </w:r>
    </w:p>
    <w:p>
      <w:pPr>
        <w:pStyle w:val="ListBullet"/>
      </w:pPr>
      <w:r>
        <w:rPr>
          <w:rFonts w:ascii="Cairo" w:hAnsi="Cairo"/>
          <w:color w:val="1E3D21"/>
          <w:sz w:val="23"/>
        </w:rPr>
        <w:t>Suffit pour : les relations commerciales et les appels d'offres.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Niveau 3 : l'assurance de tierce partie</w:t>
      </w:r>
    </w:p>
    <w:p>
      <w:pPr>
        <w:spacing w:line="336" w:lineRule="auto"/>
        <w:jc w:val="left"/>
      </w:pPr>
      <w:r>
        <w:rPr>
          <w:rFonts w:ascii="Cairo" w:hAnsi="Cairo"/>
          <w:color w:val="1E3D21"/>
          <w:sz w:val="23"/>
        </w:rPr>
        <w:t>Un organisme indépendant vous vérifie. La certification ISO/IEC 42001, l'audit externe, l'évaluation de conformité.</w:t>
      </w:r>
    </w:p>
    <w:p>
      <w:pPr>
        <w:pStyle w:val="ListBullet"/>
      </w:pPr>
      <w:r>
        <w:rPr>
          <w:rFonts w:ascii="Cairo" w:hAnsi="Cairo"/>
          <w:color w:val="1E3D21"/>
          <w:sz w:val="23"/>
        </w:rPr>
        <w:t>Force : la preuve la plus forte qui existe ; opposable au conseil, au régulateur et au marché.</w:t>
      </w:r>
    </w:p>
    <w:p>
      <w:pPr>
        <w:pStyle w:val="ListBullet"/>
      </w:pPr>
      <w:r>
        <w:rPr>
          <w:rFonts w:ascii="Cairo" w:hAnsi="Cairo"/>
          <w:color w:val="1E3D21"/>
          <w:sz w:val="23"/>
        </w:rPr>
        <w:t>Limite : la plus exigeante et la plus coûteuse ; elle se prépare pendant des trimestres.</w:t>
      </w:r>
    </w:p>
    <w:p>
      <w:pPr>
        <w:pStyle w:val="ListBullet"/>
      </w:pPr>
      <w:r>
        <w:rPr>
          <w:rFonts w:ascii="Cairo" w:hAnsi="Cairo"/>
          <w:color w:val="1E3D21"/>
          <w:sz w:val="23"/>
        </w:rPr>
        <w:t>Exigée quand : le risque est élevé, le marché est réglementé, ou la confiance publique est en jeu.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Comment choisir</w:t>
      </w:r>
    </w:p>
    <w:p>
      <w:pPr>
        <w:spacing w:line="336" w:lineRule="auto"/>
        <w:jc w:val="left"/>
      </w:pPr>
      <w:r>
        <w:rPr>
          <w:rFonts w:ascii="Cairo" w:hAnsi="Cairo"/>
          <w:color w:val="1E3D21"/>
          <w:sz w:val="23"/>
        </w:rPr>
        <w:t>Commencez au niveau 1 et industrialisez la preuve. Passez au niveau 2 quand vos clients le demandent. Visez le niveau 3 quand votre exposition ou votre secteur l'exige. Aucun niveau ne remplace le précédent : ils s'empilent.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Où s'arrête le gratuit et où commence le payant</w:t>
      </w:r>
    </w:p>
    <w:p>
      <w:pPr>
        <w:pStyle w:val="ListBullet"/>
      </w:pPr>
      <w:r>
        <w:rPr>
          <w:rFonts w:ascii="Cairo" w:hAnsi="Cairo"/>
          <w:color w:val="1E3D21"/>
          <w:sz w:val="23"/>
        </w:rPr>
        <w:t>GRATUIT (le quoi et le pourquoi) : cette carte des trois niveaux.</w:t>
      </w:r>
    </w:p>
    <w:p>
      <w:pPr>
        <w:pStyle w:val="ListBullet"/>
      </w:pPr>
      <w:r>
        <w:rPr>
          <w:rFonts w:ascii="Cairo" w:hAnsi="Cairo"/>
          <w:color w:val="1E3D21"/>
          <w:sz w:val="23"/>
        </w:rPr>
        <w:t>PAYANT (le comment) : le protocole d'autoévaluation, le modèle de revue indépendante et la préparation à la certification dans le AI Assurance and Audit Kit (Niveau C).</w:t>
      </w:r>
    </w:p>
    <w:p>
      <w:pPr>
        <w:pBdr>
          <w:top w:val="single" w:sz="6" w:space="4" w:color="BDE051"/>
        </w:pBdr>
      </w:pPr>
      <w:r>
        <w:rPr>
          <w:rFonts w:ascii="Cairo" w:hAnsi="Cairo"/>
          <w:color w:val="48994E"/>
          <w:sz w:val="19"/>
        </w:rPr>
        <w:t>AI GOVERNANCE CHAIN™</w:t>
      </w:r>
    </w:p>
    <w:p>
      <w:r>
        <w:rPr>
          <w:rFonts w:ascii="Cairo" w:hAnsi="Cairo"/>
          <w:color w:val="48994E"/>
          <w:sz w:val="19"/>
        </w:rPr>
        <w:t>Cadre de gouvernance de l'IA</w:t>
      </w:r>
    </w:p>
    <w:p>
      <w:r>
        <w:rPr>
          <w:rFonts w:ascii="Cairo" w:hAnsi="Cairo"/>
          <w:color w:val="48994E"/>
          <w:sz w:val="19"/>
        </w:rPr>
        <w:t>© 2026 Mathieu K. Gouanou. Tous droits réservés.</w:t>
      </w:r>
    </w:p>
    <w:p>
      <w:r>
        <w:rPr>
          <w:rFonts w:ascii="Cairo" w:hAnsi="Cairo"/>
          <w:color w:val="48994E"/>
          <w:sz w:val="19"/>
        </w:rPr>
        <w:t>Membre du conseil consultatif de la Harvard Business Review.</w:t>
      </w:r>
    </w:p>
    <w:p>
      <w:r>
        <w:rPr>
          <w:rFonts w:ascii="Cairo" w:hAnsi="Cairo"/>
          <w:color w:val="48994E"/>
          <w:sz w:val="19"/>
        </w:rPr>
        <w:t>Standard documentaire : une gouvernance de l'IA centrée sur l'humain.</w:t>
      </w:r>
    </w:p>
    <w:sectPr w:rsidR="00FC693F" w:rsidRPr="0006063C" w:rsidSect="00034616">
      <w:footerReference w:type="default" r:id="rId9"/>
      <w:pgSz w:w="12240" w:h="15840"/>
      <w:pgMar w:top="1077" w:right="1077" w:bottom="1247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iro" w:hAnsi="Cairo"/>
        <w:color w:val="48994E"/>
        <w:sz w:val="18"/>
      </w:rPr>
      <w:fldChar w:fldCharType="begin"/>
      <w:instrText xml:space="preserve"> PAGE </w:instrText>
      <w:fldChar w:fldCharType="end"/>
    </w:r>
    <w:r>
      <w:rPr>
        <w:rFonts w:ascii="Cairo" w:hAnsi="Cairo"/>
        <w:color w:val="48994E"/>
        <w:sz w:val="18"/>
      </w:rPr>
      <w:t>/</w:t>
    </w:r>
    <w:r>
      <w:rPr>
        <w:rFonts w:ascii="Cairo" w:hAnsi="Cairo"/>
        <w:color w:val="48994E"/>
        <w:sz w:val="18"/>
      </w:rPr>
      <w:fldChar w:fldCharType="begin"/>
      <w:instrText xml:space="preserve"> NUMPAGES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iro" w:hAnsi="Cairo"/>
      <w:color w:val="1E3D21"/>
      <w:sz w:val="23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