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20" w:space="4" w:color="BDE051"/>
        </w:pBdr>
      </w:pPr>
      <w:r>
        <w:rPr>
          <w:rFonts w:ascii="Bakbak One" w:hAnsi="Bakbak One"/>
          <w:b/>
          <w:color w:val="48994E"/>
          <w:sz w:val="40"/>
        </w:rPr>
        <w:t>Le guide d'intervention de la première heure en cas d'incident d'IA (édition gratuite)</w:t>
      </w:r>
    </w:p>
    <w:p>
      <w:pPr>
        <w:spacing w:after="140" w:line="336" w:lineRule="auto"/>
        <w:jc w:val="left"/>
      </w:pPr>
      <w:r>
        <w:rPr>
          <w:rFonts w:ascii="Cairo" w:hAnsi="Cairo"/>
          <w:color w:val="1E2A1F"/>
          <w:sz w:val="23"/>
        </w:rPr>
        <w:t>Un instrument gratuit d'AI GOVERNANCE CHAIN™. Le QUOI et le POURQUOI sont gratuits. Le guide complet, le kit de retour d'expérience et l'accompagnement à la reprise relèvent de l'offre payante.</w:t>
      </w:r>
    </w:p>
    <w:p>
      <w:pPr>
        <w:spacing w:before="240" w:after="60"/>
      </w:pPr>
      <w:r>
        <w:rPr>
          <w:rFonts w:ascii="Bakbak One" w:hAnsi="Bakbak One"/>
          <w:b/>
          <w:color w:val="48994E"/>
          <w:sz w:val="27"/>
        </w:rPr>
        <w:t>Abréviations et acronymes</w:t>
      </w:r>
    </w:p>
    <w:p>
      <w:pPr>
        <w:spacing w:after="140" w:line="336" w:lineRule="auto"/>
        <w:jc w:val="left"/>
      </w:pPr>
      <w:r>
        <w:rPr>
          <w:rFonts w:ascii="Cairo" w:hAnsi="Cairo"/>
          <w:color w:val="1E2A1F"/>
          <w:sz w:val="23"/>
        </w:rPr>
        <w:t>Aucune connaissance préalable n'est supposée. Chaque terme abrégé utilisé dans ce document est défini ici.</w:t>
      </w:r>
    </w:p>
    <w:p>
      <w:pPr>
        <w:spacing w:after="140" w:line="336" w:lineRule="auto"/>
        <w:jc w:val="left"/>
      </w:pPr>
      <w:r>
        <w:rPr>
          <w:rFonts w:ascii="Cairo" w:hAnsi="Cairo"/>
          <w:color w:val="1E2A1F"/>
          <w:sz w:val="23"/>
        </w:rPr>
      </w:r>
      <w:r>
        <w:rPr>
          <w:rFonts w:ascii="Cairo" w:hAnsi="Cairo"/>
          <w:b/>
          <w:color w:val="48994E"/>
          <w:sz w:val="23"/>
        </w:rPr>
        <w:t>IA</w:t>
      </w:r>
      <w:r>
        <w:rPr>
          <w:rFonts w:ascii="Cairo" w:hAnsi="Cairo"/>
          <w:color w:val="1E2A1F"/>
          <w:sz w:val="23"/>
        </w:rPr>
        <w:t xml:space="preserve"> : intelligence artificielle.</w:t>
      </w:r>
    </w:p>
    <w:p>
      <w:pPr>
        <w:spacing w:after="140" w:line="336" w:lineRule="auto"/>
        <w:jc w:val="left"/>
      </w:pPr>
      <w:r>
        <w:rPr>
          <w:rFonts w:ascii="Cairo" w:hAnsi="Cairo"/>
          <w:color w:val="1E2A1F"/>
          <w:sz w:val="23"/>
        </w:rPr>
      </w:r>
      <w:r>
        <w:rPr>
          <w:rFonts w:ascii="Cairo" w:hAnsi="Cairo"/>
          <w:b/>
          <w:color w:val="48994E"/>
          <w:sz w:val="23"/>
        </w:rPr>
        <w:t>AI-ERF</w:t>
      </w:r>
      <w:r>
        <w:rPr>
          <w:rFonts w:ascii="Cairo" w:hAnsi="Cairo"/>
          <w:color w:val="1E2A1F"/>
          <w:sz w:val="23"/>
        </w:rPr>
        <w:t xml:space="preserve"> : AI Governance Emergency Response Framework, le cadre d'intervention d'urgence pour la gouvernance de l'IA.</w:t>
      </w:r>
    </w:p>
    <w:p>
      <w:pPr>
        <w:spacing w:before="240" w:after="60"/>
      </w:pPr>
      <w:r>
        <w:rPr>
          <w:rFonts w:ascii="Bakbak One" w:hAnsi="Bakbak One"/>
          <w:b/>
          <w:color w:val="48994E"/>
          <w:sz w:val="27"/>
        </w:rPr>
        <w:t>À qui s'adresse ce guide</w:t>
      </w:r>
    </w:p>
    <w:p>
      <w:pPr>
        <w:spacing w:after="140" w:line="336" w:lineRule="auto"/>
        <w:jc w:val="left"/>
      </w:pPr>
      <w:r>
        <w:rPr>
          <w:rFonts w:ascii="Cairo" w:hAnsi="Cairo"/>
          <w:color w:val="1E2A1F"/>
          <w:sz w:val="23"/>
        </w:rPr>
        <w:t>À toute personne responsable d'un système d'IA susceptible de défaillir en production : une réponse erronée à grande échelle, un résultat biaisé, une fuite de données, une affirmation fabriquée, ou une action autonome qui n'aurait pas dû se produire. Voici quoi faire dans les soixante premières minutes, avant que la situation ne s'aggrave.</w:t>
      </w:r>
    </w:p>
    <w:p>
      <w:pPr>
        <w:spacing w:before="240" w:after="60"/>
      </w:pPr>
      <w:r>
        <w:rPr>
          <w:rFonts w:ascii="Bakbak One" w:hAnsi="Bakbak One"/>
          <w:b/>
          <w:color w:val="48994E"/>
          <w:sz w:val="27"/>
        </w:rPr>
        <w:t>Pourquoi ce guide existe (le POURQUOI)</w:t>
      </w:r>
    </w:p>
    <w:p>
      <w:pPr>
        <w:spacing w:after="140" w:line="336" w:lineRule="auto"/>
        <w:jc w:val="left"/>
      </w:pPr>
      <w:r>
        <w:rPr>
          <w:rFonts w:ascii="Cairo" w:hAnsi="Cairo"/>
          <w:color w:val="1E2A1F"/>
          <w:sz w:val="23"/>
        </w:rPr>
        <w:t>Presque toutes les ressources de gouvernance planifient la prévention. Presque aucune ne dit quoi faire quand la prévention a déjà échoué. Or la première heure d'un incident d'IA détermine s'il devient un événement contenu ou une crise publique. Les organisations qui ont répété la première heure se rétablissent discrètement. Celles qui improvisent aggravent souvent les dégâts. Ce guide vous donne la première heure.</w:t>
      </w:r>
    </w:p>
    <w:p>
      <w:pPr>
        <w:spacing w:before="240" w:after="60"/>
      </w:pPr>
      <w:r>
        <w:rPr>
          <w:rFonts w:ascii="Bakbak One" w:hAnsi="Bakbak One"/>
          <w:b/>
          <w:color w:val="48994E"/>
          <w:sz w:val="27"/>
        </w:rPr>
        <w:t>Le QUOI : les soixante premières minutes</w:t>
      </w:r>
    </w:p>
    <w:p>
      <w:pPr>
        <w:spacing w:after="140" w:line="336" w:lineRule="auto"/>
        <w:jc w:val="left"/>
      </w:pPr>
      <w:r>
        <w:rPr>
          <w:rFonts w:ascii="Cairo" w:hAnsi="Cairo"/>
          <w:color w:val="1E2A1F"/>
          <w:sz w:val="23"/>
        </w:rPr>
        <w:t>Minutes 0 à 10, contenir. Réduisez le rayon d'impact avant d'enquêter. Pouvez-vous mettre le système en pause, revenir à une version sûre, basculer vers un traitement humain, ou restreindre les personnes affectées ? Le confinement d'abord, le diagnostic ensuite. Un système qui cause activement un préjudice ne doit pas continuer à fonctionner pendant que vous l'étudiez.</w:t>
      </w:r>
    </w:p>
    <w:p>
      <w:pPr>
        <w:spacing w:after="140" w:line="336" w:lineRule="auto"/>
        <w:jc w:val="left"/>
      </w:pPr>
      <w:r>
        <w:rPr>
          <w:rFonts w:ascii="Cairo" w:hAnsi="Cairo"/>
          <w:color w:val="1E2A1F"/>
          <w:sz w:val="23"/>
        </w:rPr>
        <w:t>Minutes 10 à 20, évaluer la portée. Répondez à trois questions. Que s'est-il exactement passé ? Qui est affecté, et combien de personnes ? Cela continue-t-il ? Écrivez les réponses. Le compte rendu écrit commencé maintenant devient votre retour d'expérience et, si nécessaire, votre preuve de diligence.</w:t>
      </w:r>
    </w:p>
    <w:p>
      <w:pPr>
        <w:spacing w:after="140" w:line="336" w:lineRule="auto"/>
        <w:jc w:val="left"/>
      </w:pPr>
      <w:r>
        <w:rPr>
          <w:rFonts w:ascii="Cairo" w:hAnsi="Cairo"/>
          <w:color w:val="1E2A1F"/>
          <w:sz w:val="23"/>
        </w:rPr>
        <w:t>Minutes 20 à 30, notifier les bonnes personnes. Joignez le responsable désigné et toute personne devant être informée : la direction, le juridique, la communication et, dans les contextes réglementés ou du secteur public, toute partie soumise à une obligation de notification. Notifier n'est pas paniquer. C'est garder le contrôle. Les parties prenantes surprises escaladent ; les parties prenantes informées soutiennent.</w:t>
      </w:r>
    </w:p>
    <w:p>
      <w:pPr>
        <w:spacing w:after="140" w:line="336" w:lineRule="auto"/>
        <w:jc w:val="left"/>
      </w:pPr>
      <w:r>
        <w:rPr>
          <w:rFonts w:ascii="Cairo" w:hAnsi="Cairo"/>
          <w:color w:val="1E2A1F"/>
          <w:sz w:val="23"/>
        </w:rPr>
        <w:t>Minutes 30 à 45, préserver les preuves. Capturez les journaux, les entrées, les sorties, les horodatages et l'état du système. Ne nettoyez rien avant d'avoir enregistré. Vous devrez comprendre la cause racine et, dans certains contextes, démontrer ce qui s'est passé et quand.</w:t>
      </w:r>
    </w:p>
    <w:p>
      <w:pPr>
        <w:spacing w:after="140" w:line="336" w:lineRule="auto"/>
        <w:jc w:val="left"/>
      </w:pPr>
      <w:r>
        <w:rPr>
          <w:rFonts w:ascii="Cairo" w:hAnsi="Cairo"/>
          <w:color w:val="1E2A1F"/>
          <w:sz w:val="23"/>
        </w:rPr>
        <w:t>Minutes 45 à 60, stabiliser et décider de la suite. Confirmez que le confinement tient. Ensuite, décidez : le système reste-t-il arrêté, redémarre-t-il sous restrictions, ou reprend-il ? Cette décision appartient au responsable désigné, pas à la personne qui a trouvé le problème. Fixez le prochain point de situation avant de quitter la première heure.</w:t>
      </w:r>
    </w:p>
    <w:p>
      <w:pPr>
        <w:spacing w:before="240" w:after="60"/>
      </w:pPr>
      <w:r>
        <w:rPr>
          <w:rFonts w:ascii="Bakbak One" w:hAnsi="Bakbak One"/>
          <w:b/>
          <w:color w:val="48994E"/>
          <w:sz w:val="27"/>
        </w:rPr>
        <w:t>La règle qui gouverne tout</w:t>
      </w:r>
    </w:p>
    <w:p>
      <w:pPr>
        <w:spacing w:after="140" w:line="336" w:lineRule="auto"/>
        <w:jc w:val="left"/>
      </w:pPr>
      <w:r>
        <w:rPr>
          <w:rFonts w:ascii="Cairo" w:hAnsi="Cairo"/>
          <w:color w:val="1E2A1F"/>
          <w:sz w:val="23"/>
        </w:rPr>
        <w:t>Contenez avant d'expliquer. Chaque minute passée à débattre de la cause pendant que le système continue de nuire est une minute qui aggrave l'incident.</w:t>
      </w:r>
    </w:p>
    <w:p>
      <w:pPr>
        <w:spacing w:before="240" w:after="60"/>
      </w:pPr>
      <w:r>
        <w:rPr>
          <w:rFonts w:ascii="Bakbak One" w:hAnsi="Bakbak One"/>
          <w:b/>
          <w:color w:val="48994E"/>
          <w:sz w:val="27"/>
        </w:rPr>
        <w:t>Où s'arrête la version gratuite</w:t>
      </w:r>
    </w:p>
    <w:p>
      <w:pPr>
        <w:spacing w:after="140" w:line="336" w:lineRule="auto"/>
        <w:jc w:val="left"/>
      </w:pPr>
      <w:r>
        <w:rPr>
          <w:rFonts w:ascii="Cairo" w:hAnsi="Cairo"/>
          <w:color w:val="1E2A1F"/>
          <w:sz w:val="23"/>
        </w:rPr>
        <w:t>Ce guide vous donne la première heure. Il ne couvre pas l'enquête complète, la remédiation, la conformité des notifications, le retour d'expérience sans blâme, ni les exercices qui rendent la réponse automatique. C'est le rôle du AI-ERF™ Implementation Pack et du cadre complet.</w:t>
      </w:r>
    </w:p>
    <w:p>
      <w:pPr>
        <w:spacing w:after="140" w:line="336" w:lineRule="auto"/>
        <w:jc w:val="left"/>
      </w:pPr>
      <w:r>
        <w:rPr>
          <w:rFonts w:ascii="Cairo" w:hAnsi="Cairo"/>
          <w:color w:val="1E2A1F"/>
          <w:sz w:val="23"/>
        </w:rPr>
        <w:t>Le COMMENT, l'AVEC-VOUS et le FAIT-POUR-VOUS sont la voie payante : le pack de mise en œuvre, les sprints d'accompagnement et l'audit de gouvernance.</w:t>
      </w:r>
    </w:p>
    <w:p>
      <w:pPr>
        <w:pBdr>
          <w:bottom w:val="single" w:sz="6" w:space="1" w:color="BDE051"/>
        </w:pBdr>
      </w:pPr>
    </w:p>
    <w:p>
      <w:pPr>
        <w:spacing w:after="40"/>
      </w:pPr>
      <w:r>
        <w:rPr>
          <w:rFonts w:ascii="Cairo" w:hAnsi="Cairo"/>
          <w:color w:val="3A4A3C"/>
          <w:sz w:val="19"/>
        </w:rPr>
        <w:t>AI GOVERNANCE CHAIN™</w:t>
      </w:r>
    </w:p>
    <w:p>
      <w:pPr>
        <w:spacing w:after="40"/>
      </w:pPr>
      <w:r>
        <w:rPr>
          <w:rFonts w:ascii="Cairo" w:hAnsi="Cairo"/>
          <w:color w:val="3A4A3C"/>
          <w:sz w:val="19"/>
        </w:rPr>
        <w:t>© 2026 Mathieu K. Gouanou. Tous droits réservés.</w:t>
      </w:r>
    </w:p>
    <w:p>
      <w:pPr>
        <w:spacing w:after="40"/>
      </w:pPr>
      <w:r>
        <w:rPr>
          <w:rFonts w:ascii="Cairo" w:hAnsi="Cairo"/>
          <w:color w:val="3A4A3C"/>
          <w:sz w:val="19"/>
        </w:rPr>
        <w:t>Membre du conseil consultatif de la Harvard Business Review.</w:t>
      </w:r>
    </w:p>
    <w:p>
      <w:pPr>
        <w:spacing w:after="40"/>
      </w:pPr>
      <w:r>
        <w:rPr>
          <w:rFonts w:ascii="Cairo" w:hAnsi="Cairo"/>
          <w:color w:val="3A4A3C"/>
          <w:sz w:val="19"/>
        </w:rPr>
        <w:t>Norme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 PAGE </w:instrText>
      <w:fldChar w:fldCharType="end"/>
    </w:r>
    <w:r>
      <w:rPr>
        <w:rFonts w:ascii="Cairo" w:hAnsi="Cairo"/>
        <w:color w:val="48994E"/>
        <w:sz w:val="18"/>
      </w:rPr>
      <w:t>/</w:t>
    </w:r>
    <w:r>
      <w:rPr>
        <w:rFonts w:ascii="Cairo" w:hAnsi="Cairo"/>
        <w:color w:val="48994E"/>
        <w:sz w:val="18"/>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