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pBdr>
          <w:bottom w:val="single" w:sz="12" w:space="1" w:color="BDE051"/>
        </w:pBdr>
      </w:pPr>
      <w:r>
        <w:rPr>
          <w:rFonts w:ascii="Bakbak One" w:hAnsi="Bakbak One"/>
          <w:color w:val="48994E"/>
          <w:sz w:val="40"/>
        </w:rPr>
        <w:t>A autoavaliação de ética em IA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Abreviações e acrônimos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Nenhum conhecimento prévio é presumido. Cada acrônimo usado neste documento está escrito por extenso abaixo.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IA :</w:t>
      </w:r>
      <w:r>
        <w:rPr>
          <w:rFonts w:ascii="Cairo" w:hAnsi="Cairo"/>
          <w:color w:val="1E3D21"/>
          <w:sz w:val="23"/>
        </w:rPr>
        <w:t xml:space="preserve"> inteligência artificial.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 que este instrumento mede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Vinte perguntas, cinco seções, sessenta pontos. Uma fotografia honesta de onde sua organização está em relação à ética aplicada de IA, e não à ética declarada em discursos.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As cinco seções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Seção</w:t>
            </w:r>
          </w:p>
        </w:tc>
        <w:tc>
          <w:tcPr>
            <w:tcW w:type="dxa" w:w="3362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O que examina</w:t>
            </w:r>
          </w:p>
        </w:tc>
        <w:tc>
          <w:tcPr>
            <w:tcW w:type="dxa" w:w="3362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Pontos</w:t>
            </w:r>
          </w:p>
        </w:tc>
      </w:tr>
      <w:tr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Justiça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Grupos diferentes recebem tratamento justificável? Vieses são medidos?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12</w:t>
            </w:r>
          </w:p>
        </w:tc>
      </w:tr>
      <w:tr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Transparência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As pessoas sabem quando interagem com IA? As decisões são explicáveis?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12</w:t>
            </w:r>
          </w:p>
        </w:tc>
      </w:tr>
      <w:tr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Dignidade humana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O sistema preserva a autonomia e o recurso humano? Existe contestação?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12</w:t>
            </w:r>
          </w:p>
        </w:tc>
      </w:tr>
      <w:tr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Responsabilização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Cada decisão automatizada tem um responsável humano identificável?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12</w:t>
            </w:r>
          </w:p>
        </w:tc>
      </w:tr>
      <w:tr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Responsabilidade social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Os efeitos sobre empregos, ambiente e sociedade são considerados?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12</w:t>
            </w:r>
          </w:p>
        </w:tc>
      </w:tr>
    </w:tbl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Como pontuar cada pergunta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Zero pontos se a resposta é não. Um ponto se é parcialmente. Três pontos se é sim, com evidência escrita. A palavra evidência é o coração do instrumento: intenção sem prova pontua como intenção.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As faixas de leitura</w:t>
      </w:r>
    </w:p>
    <w:p>
      <w:pPr>
        <w:pStyle w:val="ListBullet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45 a 60 :</w:t>
      </w:r>
      <w:r>
        <w:rPr>
          <w:rFonts w:ascii="Cairo" w:hAnsi="Cairo"/>
          <w:color w:val="1E3D21"/>
          <w:sz w:val="23"/>
        </w:rPr>
        <w:t xml:space="preserve"> ética operante. Formalize e mantenha a cadência.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25 a 44 :</w:t>
      </w:r>
      <w:r>
        <w:rPr>
          <w:rFonts w:ascii="Cairo" w:hAnsi="Cairo"/>
          <w:color w:val="1E3D21"/>
          <w:sz w:val="23"/>
        </w:rPr>
        <w:t xml:space="preserve"> ética declarada. Os princípios existem; os controles, ainda não.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0 a 24 :</w:t>
      </w:r>
      <w:r>
        <w:rPr>
          <w:rFonts w:ascii="Cairo" w:hAnsi="Cairo"/>
          <w:color w:val="1E3D21"/>
          <w:sz w:val="23"/>
        </w:rPr>
        <w:t xml:space="preserve"> ética ausente. Comece pela seção com a menor pontuação.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 hábito que muda o resultado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Uma vez por mês, peça ao seu sistema de IA que defenda a posição contrária à sua. Se ele nunca discorda de você, você não tem um conselheiro. Tem um espelho.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 próximo passo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A autoavaliação gratuita nomeia a lacuna. O kit completo, com a carta do comitê de ética, o modelo de decisão ética, o registro de riscos éticos e o relatório para a diretoria, vive no AI Ethics Operating Kit da AI GOVERNANCE CHAIN™.</w:t>
      </w:r>
    </w:p>
    <w:p>
      <w:pPr>
        <w:spacing w:before="320"/>
        <w:pBdr>
          <w:bottom w:val="single" w:sz="6" w:space="1" w:color="BDE051"/>
        </w:pBdr>
      </w:pPr>
    </w:p>
    <w:p>
      <w:pPr>
        <w:spacing w:after="0"/>
      </w:pPr>
      <w:r>
        <w:rPr>
          <w:rFonts w:ascii="Cairo" w:hAnsi="Cairo"/>
          <w:color w:val="2A5230"/>
          <w:sz w:val="19"/>
        </w:rPr>
        <w:t>AI GOVERNANCE CHAIN™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Estrutura de governança de IA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© 2026 Mathieu K. Gouanou. Todos os direitos reservados.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Membro do Conselho Consultivo de Harvard Business Review.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Padrão do documento: governança de IA centrada no ser humano.</w:t>
      </w:r>
    </w:p>
    <w:sectPr w:rsidR="00FC693F" w:rsidRPr="0006063C" w:rsidSect="00034616">
      <w:footerReference w:type="default" r:id="rId9"/>
      <w:pgSz w:w="12240" w:h="15840"/>
      <w:pgMar w:top="1077" w:right="1077" w:bottom="107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PAGE </w:instrText>
      <w:fldChar w:fldCharType="end"/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t>/</w:t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