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pBdr>
          <w:bottom w:val="single" w:sz="12" w:space="1" w:color="BDE051"/>
        </w:pBdr>
      </w:pPr>
      <w:r>
        <w:rPr>
          <w:rFonts w:ascii="Bakbak One" w:hAnsi="Bakbak One"/>
          <w:color w:val="48994E"/>
          <w:sz w:val="40"/>
        </w:rPr>
        <w:t>O filtro rápido de riscos de fornecedores de IA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Abreviações e acrônimos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Nenhum conhecimento prévio é presumido. Cada acrônimo usado neste documento está escrito por extenso abaixo.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IA :</w:t>
      </w:r>
      <w:r>
        <w:rPr>
          <w:rFonts w:ascii="Cairo" w:hAnsi="Cairo"/>
          <w:color w:val="1E3D21"/>
          <w:sz w:val="23"/>
        </w:rPr>
        <w:t xml:space="preserve"> inteligência artificial. O termo designa sistemas computacionais que executam tarefas que normalmente exigiriam inteligência humana.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 exposição que ninguém governa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A maioria das organizações não constrói IA. Compra. E o risco comprado é governado com menos rigor do que o risco construído, embora o efeito de uma falha seja o mesmo. Oito perguntas antes de qualquer contrato.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As oito perguntas ao fornecedor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N</w:t>
            </w:r>
          </w:p>
        </w:tc>
        <w:tc>
          <w:tcPr>
            <w:tcW w:type="dxa" w:w="3362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Pergunta</w:t>
            </w:r>
          </w:p>
        </w:tc>
        <w:tc>
          <w:tcPr>
            <w:tcW w:type="dxa" w:w="3362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Sinal de alerta</w:t>
            </w:r>
          </w:p>
        </w:tc>
      </w:tr>
      <w:tr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1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Quais dados treinaram o sistema?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Não podemos divulgar</w:t>
            </w:r>
          </w:p>
        </w:tc>
      </w:tr>
      <w:tr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2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Como o sistema foi testado contra viés?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Silêncio ou generalidades</w:t>
            </w:r>
          </w:p>
        </w:tc>
      </w:tr>
      <w:tr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3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O que acontece quando o sistema erra?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O cliente é responsável por tudo</w:t>
            </w:r>
          </w:p>
        </w:tc>
      </w:tr>
      <w:tr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4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Vocês notificam incidentes? Em quanto tempo?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Nenhum compromisso escrito</w:t>
            </w:r>
          </w:p>
        </w:tc>
      </w:tr>
      <w:tr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5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O contrato permite auditoria ou avaliação independente?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Recusa</w:t>
            </w:r>
          </w:p>
        </w:tc>
      </w:tr>
      <w:tr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6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Onde os dados são processados e armazenados?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Indefinido</w:t>
            </w:r>
          </w:p>
        </w:tc>
      </w:tr>
      <w:tr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7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O sistema pode ser pausado ou desligado por vocês?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Depende do fornecedor</w:t>
            </w:r>
          </w:p>
        </w:tc>
      </w:tr>
      <w:tr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8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Qual é o plano de saída se o contrato terminar?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Nenhum</w:t>
            </w:r>
          </w:p>
        </w:tc>
      </w:tr>
    </w:tbl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Como decidir</w:t>
      </w:r>
    </w:p>
    <w:p>
      <w:pPr>
        <w:pStyle w:val="ListBullet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0 a 1 alerta :</w:t>
      </w:r>
      <w:r>
        <w:rPr>
          <w:rFonts w:ascii="Cairo" w:hAnsi="Cairo"/>
          <w:color w:val="1E3D21"/>
          <w:sz w:val="23"/>
        </w:rPr>
        <w:t xml:space="preserve"> prossiga com as cláusulas padrão de governança.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2 a 3 alertas :</w:t>
      </w:r>
      <w:r>
        <w:rPr>
          <w:rFonts w:ascii="Cairo" w:hAnsi="Cairo"/>
          <w:color w:val="1E3D21"/>
          <w:sz w:val="23"/>
        </w:rPr>
        <w:t xml:space="preserve"> negocie as cláusulas antes de assinar. O momento de alavancagem é antes do contrato.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4 ou mais alertas :</w:t>
      </w:r>
      <w:r>
        <w:rPr>
          <w:rFonts w:ascii="Cairo" w:hAnsi="Cairo"/>
          <w:color w:val="1E3D21"/>
          <w:sz w:val="23"/>
        </w:rPr>
        <w:t xml:space="preserve"> pare. O fornecedor está transferindo o risco dele para você.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próximo passo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Este filtro gratuito protege a porta. A avaliação completa de terceiros, o registro de riscos de fornecedores e a lista de cláusulas contratuais, incluindo as exigências do setor público, vivem na camada paga da AI GOVERNANCE CHAIN™.</w:t>
      </w:r>
    </w:p>
    <w:p>
      <w:pPr>
        <w:spacing w:before="320"/>
        <w:pBdr>
          <w:bottom w:val="single" w:sz="6" w:space="1" w:color="BDE051"/>
        </w:pBdr>
      </w:pPr>
    </w:p>
    <w:p>
      <w:pPr>
        <w:spacing w:after="0"/>
      </w:pPr>
      <w:r>
        <w:rPr>
          <w:rFonts w:ascii="Cairo" w:hAnsi="Cairo"/>
          <w:color w:val="2A5230"/>
          <w:sz w:val="19"/>
        </w:rPr>
        <w:t>AI GOVERNANCE CHAIN™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Estrutura de governança de IA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© 2026 Mathieu K. Gouanou. Todos os direitos reservados.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Membro do Conselho Consultivo de Harvard Business Review.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Padrão do documento: governança de IA centrada no ser humano.</w:t>
      </w:r>
    </w:p>
    <w:sectPr w:rsidR="00FC693F" w:rsidRPr="0006063C" w:rsidSect="00034616">
      <w:footerReference w:type="default" r:id="rId9"/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PAGE </w:instrText>
      <w:fldChar w:fldCharType="end"/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t>/</w:t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