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pBdr>
          <w:bottom w:val="single" w:sz="12" w:space="1" w:color="BDE051"/>
        </w:pBdr>
      </w:pPr>
      <w:r>
        <w:rPr>
          <w:rFonts w:ascii="Bakbak One" w:hAnsi="Bakbak One"/>
          <w:color w:val="48994E"/>
          <w:sz w:val="40"/>
        </w:rPr>
        <w:t>A lista de preparação para o asseguramento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Abreviações e acrônimos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Nenhum conhecimento prévio é presumido. Cada acrônimo usado neste documento está escrito por extenso abaixo.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IA :</w:t>
      </w:r>
      <w:r>
        <w:rPr>
          <w:rFonts w:ascii="Cairo" w:hAnsi="Cairo"/>
          <w:color w:val="1E3D21"/>
          <w:sz w:val="23"/>
        </w:rPr>
        <w:t xml:space="preserve"> inteligência artificial.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ISO/IEC :</w:t>
      </w:r>
      <w:r>
        <w:rPr>
          <w:rFonts w:ascii="Cairo" w:hAnsi="Cairo"/>
          <w:color w:val="1E3D21"/>
          <w:sz w:val="23"/>
        </w:rPr>
        <w:t xml:space="preserve"> Organização Internacional de Normalização e Comissão Eletrotécnica Internacional. A ISO/IEC 42001, publicada em dezembro de 2023, é a primeira norma certificável de sistema de gestão de IA.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 pergunta que este instrumento responde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Sua governança sobreviveria a uma auditoria independente hoje? Governança que não pode ser provada não existe para um auditor. Vinte verificações, quatro seções, quinze minutos.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As quatro seções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3362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Seção</w:t>
            </w:r>
          </w:p>
        </w:tc>
        <w:tc>
          <w:tcPr>
            <w:tcW w:type="dxa" w:w="3362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A pergunta central</w:t>
            </w:r>
          </w:p>
        </w:tc>
        <w:tc>
          <w:tcPr>
            <w:tcW w:type="dxa" w:w="3362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Verificações</w:t>
            </w:r>
          </w:p>
        </w:tc>
      </w:tr>
      <w:tr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A evidência existe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Cada controle declarado tem um documento, registro ou trilha?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5</w:t>
            </w:r>
          </w:p>
        </w:tc>
      </w:tr>
      <w:tr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A evidência é independente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Alguém além do autor do controle já o examinou?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5</w:t>
            </w:r>
          </w:p>
        </w:tc>
      </w:tr>
      <w:tr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A evidência é atual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Os documentos refletem o trimestre corrente, ou o ano passado?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5</w:t>
            </w:r>
          </w:p>
        </w:tc>
      </w:tr>
      <w:tr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A evidência é utilizável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Um auditor externo encontraria e entenderia tudo em um dia?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5</w:t>
            </w:r>
          </w:p>
        </w:tc>
      </w:tr>
    </w:tbl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Como pontuar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Dois pontos por verificação cumprida com prova, um ponto se parcial, zero se ausente. Quarenta pontos possíveis.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32 a 40 :</w:t>
      </w:r>
      <w:r>
        <w:rPr>
          <w:rFonts w:ascii="Cairo" w:hAnsi="Cairo"/>
          <w:color w:val="1E3D21"/>
          <w:sz w:val="23"/>
        </w:rPr>
        <w:t xml:space="preserve"> pronto para asseguramento. Considere a certificação ISO/IEC 42001.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16 a 31 :</w:t>
      </w:r>
      <w:r>
        <w:rPr>
          <w:rFonts w:ascii="Cairo" w:hAnsi="Cairo"/>
          <w:color w:val="1E3D21"/>
          <w:sz w:val="23"/>
        </w:rPr>
        <w:t xml:space="preserve"> parcialmente pronto. Feche as seções mais fracas antes de convidar um auditor.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0 a 15 :</w:t>
      </w:r>
      <w:r>
        <w:rPr>
          <w:rFonts w:ascii="Cairo" w:hAnsi="Cairo"/>
          <w:color w:val="1E3D21"/>
          <w:sz w:val="23"/>
        </w:rPr>
        <w:t xml:space="preserve"> a governança existe na intenção, não na prova. Comece pelo inventário de evidências.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Um caso anonimizado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Uma seguradora de médio porte tinha governança real e não conseguiu prová-la: as políticas viviam em conversas e a evidência em caixas de e-mail. A auditoria que deveria durar três dias durou três semanas. O problema não era a governança. Era a prova.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 próximo passo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A lista gratuita mede a prontidão. O sistema completo de evidências, o protocolo de autoavaliação, o mapa de prontidão para a certificação ISO/IEC 42001 e o relatório de asseguramento para a diretoria vivem no AI Assurance and Audit Kit da AI GOVERNANCE CHAIN™.</w:t>
      </w:r>
    </w:p>
    <w:p>
      <w:pPr>
        <w:spacing w:before="320"/>
        <w:pBdr>
          <w:bottom w:val="single" w:sz="6" w:space="1" w:color="BDE051"/>
        </w:pBdr>
      </w:pPr>
    </w:p>
    <w:p>
      <w:pPr>
        <w:spacing w:after="0"/>
      </w:pPr>
      <w:r>
        <w:rPr>
          <w:rFonts w:ascii="Cairo" w:hAnsi="Cairo"/>
          <w:color w:val="2A5230"/>
          <w:sz w:val="19"/>
        </w:rPr>
        <w:t>AI GOVERNANCE CHAIN™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Estrutura de governança de IA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© 2026 Mathieu K. Gouanou. Todos os direitos reservados.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Membro do Conselho Consultivo de Harvard Business Review.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Padrão do documento: governança de IA centrada no ser humano.</w:t>
      </w:r>
    </w:p>
    <w:sectPr w:rsidR="00FC693F" w:rsidRPr="0006063C" w:rsidSect="00034616">
      <w:footerReference w:type="default" r:id="rId9"/>
      <w:pgSz w:w="12240" w:h="15840"/>
      <w:pgMar w:top="1077" w:right="1077" w:bottom="107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 w:hAnsi="Cairo"/>
        <w:color w:val="48994E"/>
        <w:sz w:val="18"/>
        <w:color w:val="48994E"/>
        <w:sz w:val="18"/>
        <w:rFonts w:ascii="Cairo" w:hAnsi="Cairo"/>
      </w:rPr>
      <w:fldChar w:fldCharType="begin"/>
      <w:instrText xml:space="preserve"> PAGE </w:instrText>
      <w:fldChar w:fldCharType="end"/>
    </w:r>
    <w:r>
      <w:rPr>
        <w:rFonts w:ascii="Cairo" w:hAnsi="Cairo"/>
        <w:color w:val="48994E"/>
        <w:sz w:val="18"/>
        <w:color w:val="48994E"/>
        <w:sz w:val="18"/>
        <w:rFonts w:ascii="Cairo" w:hAnsi="Cairo"/>
      </w:rPr>
      <w:t>/</w:t>
    </w:r>
    <w:r>
      <w:rPr>
        <w:rFonts w:ascii="Cairo" w:hAnsi="Cairo"/>
        <w:color w:val="48994E"/>
        <w:sz w:val="18"/>
        <w:color w:val="48994E"/>
        <w:sz w:val="18"/>
        <w:rFonts w:ascii="Cairo" w:hAnsi="Cairo"/>
      </w:rPr>
      <w:fldChar w:fldCharType="begin"/>
      <w:instrText xml:space="preserve"> NUMPAGES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