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O State of AI Governance T2 - 2026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ISO/IEC :</w:t>
      </w:r>
      <w:r>
        <w:rPr>
          <w:rFonts w:ascii="Cairo" w:hAnsi="Cairo"/>
          <w:color w:val="1E3D21"/>
          <w:sz w:val="23"/>
        </w:rPr>
        <w:t xml:space="preserve"> Organização Internacional de Normalização e Comissão Eletrotécnica Internacional. </w:t>
      </w:r>
      <w:r>
        <w:rPr>
          <w:rFonts w:ascii="Cairo" w:hAnsi="Cairo"/>
          <w:b/>
          <w:color w:val="48994E"/>
          <w:sz w:val="23"/>
        </w:rPr>
        <w:t>NIST :</w:t>
      </w:r>
      <w:r>
        <w:rPr>
          <w:rFonts w:ascii="Cairo" w:hAnsi="Cairo"/>
          <w:color w:val="1E3D21"/>
          <w:sz w:val="23"/>
        </w:rPr>
        <w:t xml:space="preserve"> Instituto Nacional de Padrões e Tecnologia dos Estados Unidos. </w:t>
      </w:r>
      <w:r>
        <w:rPr>
          <w:rFonts w:ascii="Cairo" w:hAnsi="Cairo"/>
          <w:b/>
          <w:color w:val="48994E"/>
          <w:sz w:val="23"/>
        </w:rPr>
        <w:t>UE :</w:t>
      </w:r>
      <w:r>
        <w:rPr>
          <w:rFonts w:ascii="Cairo" w:hAnsi="Cairo"/>
          <w:color w:val="1E3D21"/>
          <w:sz w:val="23"/>
        </w:rPr>
        <w:t xml:space="preserve"> União Europeia.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 tese desta edição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 inteligência artificial não falha por falta de inteligência. Falha porque concorda com você. E a lacuna de governança deixou de ser um problema de princípios: é um problema de execução.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As cinco forças do trimestre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Força</w:t>
            </w:r>
          </w:p>
        </w:tc>
        <w:tc>
          <w:tcPr>
            <w:tcW w:type="dxa" w:w="5043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O que significa para sua organização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A maré regulatória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O Regulamento de IA da UE, o Regulamento (UE) 2024/1689, aplica-se em fases, com multas de até 35 milhões de euros ou 7 por cento do faturamento mundial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 norma como prova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 ISO/IEC 42001, publicada em dezembro de 2023, tornou a governança certificável; a intenção deixou de bastar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A fronteira agêntica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Sistemas que agem em cadeia já operam em produção, à frente dos controles clássicos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 bajulação sem dono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O risco de sistemas que concordam em vez de informar segue fora das taxonomias do mercado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A brecha de inclusão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As ferramentas de governança foram escritas para gigantes; as organizações de 3 a 250 pessoas ficaram sem instrumentos à sua medida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que as organizações líderes farão neste trimestre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Completarão o inventário e a classificação de risco de cada sistema.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Testarão seus sistemas contra a bajulação antes que um erro embrulhado em concordância chegue ao público.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Estabelecerão a autoridade de parada e o plano da primeira hora.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Colocarão a governança em cadência trimestral, com pontuação e decisões registradas.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Sobre esta publicação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O State of AI Governance é a publicação trimestral da AI GOVERNANCE CHAIN™. Primeira edição em 30 de junho de 2026, segunda em 30 de setembro de 2026, terceira em 21 de dezembro de 2026.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Citação sugerida: Mathieu K. Gouanou (2026). The Q2 - 2026 State of AI Governance. AI GOVERNANCE CHAIN™.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Esta síntese gratuita dá o panorama. A edição completa em inglês, com as seis partes e a análise integral, está na biblioteca gratuita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