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A tabela RACI da governança de 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RACI :</w:t>
      </w:r>
      <w:r>
        <w:rPr>
          <w:rFonts w:ascii="Cairo" w:hAnsi="Cairo"/>
          <w:color w:val="1E3D21"/>
          <w:sz w:val="23"/>
        </w:rPr>
        <w:t xml:space="preserve"> Responsável pela execução, Aprovador que responde pelo resultado, Consultado, Informado. O modelo clássico de atribuição de papéis.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Por que a governança falha sem nomes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Uma política sem um nome ao lado é uma intenção. A governança só opera quando cada atividade tem exatamente um aprovador que responde pelo resultado. Dois aprovadores significam nenhum.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tabela inicial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c>
          <w:tcPr>
            <w:tcW w:type="dxa" w:w="2017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Atividade</w:t>
            </w:r>
          </w:p>
        </w:tc>
        <w:tc>
          <w:tcPr>
            <w:tcW w:type="dxa" w:w="2017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Responsável</w:t>
            </w:r>
          </w:p>
        </w:tc>
        <w:tc>
          <w:tcPr>
            <w:tcW w:type="dxa" w:w="2017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Aprovador</w:t>
            </w:r>
          </w:p>
        </w:tc>
        <w:tc>
          <w:tcPr>
            <w:tcW w:type="dxa" w:w="2017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Consultado</w:t>
            </w:r>
          </w:p>
        </w:tc>
        <w:tc>
          <w:tcPr>
            <w:tcW w:type="dxa" w:w="2017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Informado</w:t>
            </w:r>
          </w:p>
        </w:tc>
      </w:tr>
      <w:tr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Inventário de sistemas de IA</w:t>
            </w:r>
          </w:p>
        </w:tc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Analista designado</w:t>
            </w:r>
          </w:p>
        </w:tc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Diretor de IA</w:t>
            </w:r>
          </w:p>
        </w:tc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Jurídico</w:t>
            </w:r>
          </w:p>
        </w:tc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Diretoria</w:t>
            </w:r>
          </w:p>
        </w:tc>
      </w:tr>
      <w:tr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Classificação de risco por caso de uso</w:t>
            </w:r>
          </w:p>
        </w:tc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Dono do caso de uso</w:t>
            </w:r>
          </w:p>
        </w:tc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Diretor de IA</w:t>
            </w:r>
          </w:p>
        </w:tc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Compliance</w:t>
            </w:r>
          </w:p>
        </w:tc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Diretoria</w:t>
            </w:r>
          </w:p>
        </w:tc>
      </w:tr>
      <w:tr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Resposta a incidentes (primeira hora)</w:t>
            </w:r>
          </w:p>
        </w:tc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Comandante do incidente</w:t>
            </w:r>
          </w:p>
        </w:tc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Diretor de IA</w:t>
            </w:r>
          </w:p>
        </w:tc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Jurídico, Comunicação</w:t>
            </w:r>
          </w:p>
        </w:tc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Direção executiva</w:t>
            </w:r>
          </w:p>
        </w:tc>
      </w:tr>
      <w:tr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Aprovação de novos fornecedores de IA</w:t>
            </w:r>
          </w:p>
        </w:tc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Compras</w:t>
            </w:r>
          </w:p>
        </w:tc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Diretor de riscos</w:t>
            </w:r>
          </w:p>
        </w:tc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Segurança, Jurídico</w:t>
            </w:r>
          </w:p>
        </w:tc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Dono do caso de uso</w:t>
            </w:r>
          </w:p>
        </w:tc>
      </w:tr>
      <w:tr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Revisão trimestral de governança</w:t>
            </w:r>
          </w:p>
        </w:tc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Diretor de IA</w:t>
            </w:r>
          </w:p>
        </w:tc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Direção executiva</w:t>
            </w:r>
          </w:p>
        </w:tc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Todos os donos</w:t>
            </w:r>
          </w:p>
        </w:tc>
        <w:tc>
          <w:tcPr>
            <w:tcW w:type="dxa" w:w="2017"/>
          </w:tcPr>
          <w:p>
            <w:r>
              <w:rPr>
                <w:rFonts w:ascii="Cairo" w:hAnsi="Cairo"/>
                <w:color w:val="1E3D21"/>
                <w:sz w:val="20"/>
              </w:rPr>
              <w:t>Diretoria</w:t>
            </w:r>
          </w:p>
        </w:tc>
      </w:tr>
      <w:tr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Testes de bajulação e viés</w:t>
            </w:r>
          </w:p>
        </w:tc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Equipe técnica</w:t>
            </w:r>
          </w:p>
        </w:tc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Dono do caso de uso</w:t>
            </w:r>
          </w:p>
        </w:tc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Diretor de IA</w:t>
            </w:r>
          </w:p>
        </w:tc>
        <w:tc>
          <w:tcPr>
            <w:tcW w:type="dxa" w:w="2017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Compliance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regra de um único aprovador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Percorra cada linha e confirme: existe exatamente um nome na coluna do aprovador? Se houver dois, decida agora, e não durante o incidente. Se não houver nenhum, a atividade não está governada.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adaptar ao seu tamanho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3 a 50 pessoas :</w:t>
      </w:r>
      <w:r>
        <w:rPr>
          <w:rFonts w:ascii="Cairo" w:hAnsi="Cairo"/>
          <w:color w:val="1E3D21"/>
          <w:sz w:val="23"/>
        </w:rPr>
        <w:t xml:space="preserve"> os papéis acumulam. Uma pessoa pode aprovar várias linhas, desde que esteja escrito.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51 a 5.000 pessoas :</w:t>
      </w:r>
      <w:r>
        <w:rPr>
          <w:rFonts w:ascii="Cairo" w:hAnsi="Cairo"/>
          <w:color w:val="1E3D21"/>
          <w:sz w:val="23"/>
        </w:rPr>
        <w:t xml:space="preserve"> separe o aprovador do responsável pela execução em cada linha crítica.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Setor público :</w:t>
      </w:r>
      <w:r>
        <w:rPr>
          <w:rFonts w:ascii="Cairo" w:hAnsi="Cairo"/>
          <w:color w:val="1E3D21"/>
          <w:sz w:val="23"/>
        </w:rPr>
        <w:t xml:space="preserve"> acrescente a coluna do dever legal e nomeie o agente público responsável.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tabela gratuita atribui os papéis. O modelo operacional completo, com as descrições de função, os comitês e o desenho do fluxo de decisão, vive no Sistema Operacional de Governança de IA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