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pBdr>
          <w:bottom w:val="single" w:sz="12" w:space="1" w:color="BDE051"/>
        </w:pBdr>
      </w:pPr>
      <w:r>
        <w:rPr>
          <w:rFonts w:ascii="Bakbak One" w:hAnsi="Bakbak One"/>
          <w:color w:val="48994E"/>
          <w:sz w:val="40"/>
        </w:rPr>
        <w:t>Os três níveis do asseguramento de IA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Abreviações e acrônimos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Nenhum conhecimento prévio é presumido. Cada acrônimo usado neste documento está escrito por extenso abaixo.</w:t>
      </w:r>
    </w:p>
    <w:p>
      <w:pPr>
        <w:spacing w:after="100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IA :</w:t>
      </w:r>
      <w:r>
        <w:rPr>
          <w:rFonts w:ascii="Cairo" w:hAnsi="Cairo"/>
          <w:color w:val="1E3D21"/>
          <w:sz w:val="23"/>
        </w:rPr>
        <w:t xml:space="preserve"> inteligência artificial.</w:t>
      </w:r>
    </w:p>
    <w:p>
      <w:pPr>
        <w:spacing w:after="100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ISO/IEC :</w:t>
      </w:r>
      <w:r>
        <w:rPr>
          <w:rFonts w:ascii="Cairo" w:hAnsi="Cairo"/>
          <w:color w:val="1E3D21"/>
          <w:sz w:val="23"/>
        </w:rPr>
        <w:t xml:space="preserve"> Organização Internacional de Normalização e Comissão Eletrotécnica Internacional.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O princípio que governa o asseguramento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A confiança cresce com a independência. Quanto mais distante o examinador estiver de quem construiu o controle, mais a palavra dele vale para um conselho, um regulador ou um cliente.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Os três níveis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Nível</w:t>
            </w:r>
          </w:p>
        </w:tc>
        <w:tc>
          <w:tcPr>
            <w:tcW w:type="dxa" w:w="2521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Quem examina</w:t>
            </w:r>
          </w:p>
        </w:tc>
        <w:tc>
          <w:tcPr>
            <w:tcW w:type="dxa" w:w="2521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O que vale</w:t>
            </w:r>
          </w:p>
        </w:tc>
        <w:tc>
          <w:tcPr>
            <w:tcW w:type="dxa" w:w="2521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Quando basta</w:t>
            </w:r>
          </w:p>
        </w:tc>
      </w:tr>
      <w:tr>
        <w:tc>
          <w:tcPr>
            <w:tcW w:type="dxa" w:w="2521"/>
          </w:tcPr>
          <w:p>
            <w:r>
              <w:rPr>
                <w:rFonts w:ascii="Cairo" w:hAnsi="Cairo"/>
                <w:color w:val="1E3D21"/>
                <w:sz w:val="20"/>
              </w:rPr>
              <w:t>Primeira parte</w:t>
            </w:r>
          </w:p>
        </w:tc>
        <w:tc>
          <w:tcPr>
            <w:tcW w:type="dxa" w:w="2521"/>
          </w:tcPr>
          <w:p>
            <w:r>
              <w:rPr>
                <w:rFonts w:ascii="Cairo" w:hAnsi="Cairo"/>
                <w:color w:val="1E3D21"/>
                <w:sz w:val="20"/>
              </w:rPr>
              <w:t>A própria organização</w:t>
            </w:r>
          </w:p>
        </w:tc>
        <w:tc>
          <w:tcPr>
            <w:tcW w:type="dxa" w:w="2521"/>
          </w:tcPr>
          <w:p>
            <w:r>
              <w:rPr>
                <w:rFonts w:ascii="Cairo" w:hAnsi="Cairo"/>
                <w:color w:val="1E3D21"/>
                <w:sz w:val="20"/>
              </w:rPr>
              <w:t>Disciplina interna e preparação</w:t>
            </w:r>
          </w:p>
        </w:tc>
        <w:tc>
          <w:tcPr>
            <w:tcW w:type="dxa" w:w="2521"/>
          </w:tcPr>
          <w:p>
            <w:r>
              <w:rPr>
                <w:rFonts w:ascii="Cairo" w:hAnsi="Cairo"/>
                <w:color w:val="1E3D21"/>
                <w:sz w:val="20"/>
              </w:rPr>
              <w:t>Operação cotidiana e melhoria contínua</w:t>
            </w:r>
          </w:p>
        </w:tc>
      </w:tr>
      <w:tr>
        <w:tc>
          <w:tcPr>
            <w:tcW w:type="dxa" w:w="2521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Segunda parte</w:t>
            </w:r>
          </w:p>
        </w:tc>
        <w:tc>
          <w:tcPr>
            <w:tcW w:type="dxa" w:w="2521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Um cliente, parceiro ou a matriz</w:t>
            </w:r>
          </w:p>
        </w:tc>
        <w:tc>
          <w:tcPr>
            <w:tcW w:type="dxa" w:w="2521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Confiança contratual</w:t>
            </w:r>
          </w:p>
        </w:tc>
        <w:tc>
          <w:tcPr>
            <w:tcW w:type="dxa" w:w="2521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Relações entre empresas e cadeias de fornecimento</w:t>
            </w:r>
          </w:p>
        </w:tc>
      </w:tr>
      <w:tr>
        <w:tc>
          <w:tcPr>
            <w:tcW w:type="dxa" w:w="2521"/>
          </w:tcPr>
          <w:p>
            <w:r>
              <w:rPr>
                <w:rFonts w:ascii="Cairo" w:hAnsi="Cairo"/>
                <w:color w:val="1E3D21"/>
                <w:sz w:val="20"/>
              </w:rPr>
              <w:t>Terceira parte</w:t>
            </w:r>
          </w:p>
        </w:tc>
        <w:tc>
          <w:tcPr>
            <w:tcW w:type="dxa" w:w="2521"/>
          </w:tcPr>
          <w:p>
            <w:r>
              <w:rPr>
                <w:rFonts w:ascii="Cairo" w:hAnsi="Cairo"/>
                <w:color w:val="1E3D21"/>
                <w:sz w:val="20"/>
              </w:rPr>
              <w:t>Um auditor independente ou organismo certificador</w:t>
            </w:r>
          </w:p>
        </w:tc>
        <w:tc>
          <w:tcPr>
            <w:tcW w:type="dxa" w:w="2521"/>
          </w:tcPr>
          <w:p>
            <w:r>
              <w:rPr>
                <w:rFonts w:ascii="Cairo" w:hAnsi="Cairo"/>
                <w:color w:val="1E3D21"/>
                <w:sz w:val="20"/>
              </w:rPr>
              <w:t>Prova pública</w:t>
            </w:r>
          </w:p>
        </w:tc>
        <w:tc>
          <w:tcPr>
            <w:tcW w:type="dxa" w:w="2521"/>
          </w:tcPr>
          <w:p>
            <w:r>
              <w:rPr>
                <w:rFonts w:ascii="Cairo" w:hAnsi="Cairo"/>
                <w:color w:val="1E3D21"/>
                <w:sz w:val="20"/>
              </w:rPr>
              <w:t>Reguladores, diretorias e o mercado</w:t>
            </w:r>
          </w:p>
        </w:tc>
      </w:tr>
    </w:tbl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 pergunta prática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O que a sua diretoria, o seu regulador ou o seu maior cliente exige? A resposta define o nível. O erro clássico é investir anos no nível um e descobrir, diante do regulador, que apenas o nível três contava.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O caminho típico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Comece pela primeira parte: autoavaliação disciplinada com evidência escrita.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Convide a segunda parte: deixe um cliente ou parceiro examinar um sistema.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Prepare a terceira parte: a certificação ISO/IEC 42001 é o destino natural, e leva trimestres, não semanas.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O próximo passo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Este mapa gratuito escolhe o nível. O caminho completo até a certificação, com as políticas, a declaração de aplicabilidade e o kit de auditoria interna, vive no ISO/IEC 42001 Certification Toolkit da AI GOVERNANCE CHAIN™.</w:t>
      </w:r>
    </w:p>
    <w:p>
      <w:pPr>
        <w:spacing w:before="320"/>
        <w:pBdr>
          <w:bottom w:val="single" w:sz="6" w:space="1" w:color="BDE051"/>
        </w:pBdr>
      </w:pPr>
    </w:p>
    <w:p>
      <w:pPr>
        <w:spacing w:after="0"/>
      </w:pPr>
      <w:r>
        <w:rPr>
          <w:rFonts w:ascii="Cairo" w:hAnsi="Cairo"/>
          <w:color w:val="2A5230"/>
          <w:sz w:val="19"/>
        </w:rPr>
        <w:t>AI GOVERNANCE CHAIN™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Estrutura de governança de IA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© 2026 Mathieu K. Gouanou. Todos os direitos reservados.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Membro do Conselho Consultivo de Harvard Business Review.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Padrão do documento: governança de IA centrada no ser humano.</w:t>
      </w:r>
    </w:p>
    <w:sectPr w:rsidR="00FC693F" w:rsidRPr="0006063C" w:rsidSect="00034616">
      <w:footerReference w:type="default" r:id="rId9"/>
      <w:pgSz w:w="12240" w:h="15840"/>
      <w:pgMar w:top="1077" w:right="1077" w:bottom="107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iro" w:hAnsi="Cairo"/>
        <w:color w:val="48994E"/>
        <w:sz w:val="18"/>
        <w:color w:val="48994E"/>
        <w:sz w:val="18"/>
        <w:rFonts w:ascii="Cairo" w:hAnsi="Cairo"/>
      </w:rPr>
      <w:fldChar w:fldCharType="begin"/>
      <w:instrText xml:space="preserve"> PAGE </w:instrText>
      <w:fldChar w:fldCharType="end"/>
    </w:r>
    <w:r>
      <w:rPr>
        <w:rFonts w:ascii="Cairo" w:hAnsi="Cairo"/>
        <w:color w:val="48994E"/>
        <w:sz w:val="18"/>
        <w:color w:val="48994E"/>
        <w:sz w:val="18"/>
        <w:rFonts w:ascii="Cairo" w:hAnsi="Cairo"/>
      </w:rPr>
      <w:t>/</w:t>
    </w:r>
    <w:r>
      <w:rPr>
        <w:rFonts w:ascii="Cairo" w:hAnsi="Cairo"/>
        <w:color w:val="48994E"/>
        <w:sz w:val="18"/>
        <w:color w:val="48994E"/>
        <w:sz w:val="18"/>
        <w:rFonts w:ascii="Cairo" w:hAnsi="Cairo"/>
      </w:rPr>
      <w:fldChar w:fldCharType="begin"/>
      <w:instrText xml:space="preserve"> NUMPAGES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